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11B13" w14:textId="77777777" w:rsidR="00B279A0" w:rsidRPr="000E2AA6" w:rsidRDefault="00B279A0" w:rsidP="00B279A0">
      <w:pPr>
        <w:jc w:val="center"/>
        <w:rPr>
          <w:rFonts w:ascii="Times New Roman" w:hAnsi="Times New Roman" w:cs="Times New Roman"/>
          <w:b/>
        </w:rPr>
      </w:pPr>
      <w:bookmarkStart w:id="0" w:name="_GoBack"/>
      <w:bookmarkEnd w:id="0"/>
      <w:r w:rsidRPr="000E2AA6">
        <w:rPr>
          <w:rFonts w:ascii="Times New Roman" w:hAnsi="Times New Roman" w:cs="Times New Roman"/>
          <w:b/>
        </w:rPr>
        <w:t>TABEL DE CONCORDANȚĂ</w:t>
      </w:r>
    </w:p>
    <w:tbl>
      <w:tblPr>
        <w:tblStyle w:val="TableGrid"/>
        <w:tblW w:w="0" w:type="auto"/>
        <w:tblLook w:val="04A0" w:firstRow="1" w:lastRow="0" w:firstColumn="1" w:lastColumn="0" w:noHBand="0" w:noVBand="1"/>
      </w:tblPr>
      <w:tblGrid>
        <w:gridCol w:w="326"/>
        <w:gridCol w:w="13236"/>
      </w:tblGrid>
      <w:tr w:rsidR="00B279A0" w:rsidRPr="000E2AA6" w14:paraId="6536EF5A" w14:textId="77777777" w:rsidTr="00B279A0">
        <w:tc>
          <w:tcPr>
            <w:tcW w:w="279" w:type="dxa"/>
            <w:shd w:val="clear" w:color="auto" w:fill="D9D9D9" w:themeFill="background1" w:themeFillShade="D9"/>
          </w:tcPr>
          <w:p w14:paraId="31986259" w14:textId="77777777" w:rsidR="00B279A0" w:rsidRPr="000E2AA6" w:rsidRDefault="00B279A0" w:rsidP="00B279A0">
            <w:pPr>
              <w:pStyle w:val="NoSpacing"/>
              <w:rPr>
                <w:rFonts w:ascii="Times New Roman" w:hAnsi="Times New Roman" w:cs="Times New Roman"/>
                <w:b/>
              </w:rPr>
            </w:pPr>
            <w:r w:rsidRPr="000E2AA6">
              <w:rPr>
                <w:rFonts w:ascii="Times New Roman" w:hAnsi="Times New Roman" w:cs="Times New Roman"/>
                <w:b/>
              </w:rPr>
              <w:t>1</w:t>
            </w:r>
          </w:p>
        </w:tc>
        <w:tc>
          <w:tcPr>
            <w:tcW w:w="13283" w:type="dxa"/>
          </w:tcPr>
          <w:p w14:paraId="3E01BDE2" w14:textId="77777777" w:rsidR="00B279A0" w:rsidRPr="000E2AA6" w:rsidRDefault="00B279A0" w:rsidP="00B279A0">
            <w:pPr>
              <w:jc w:val="both"/>
              <w:rPr>
                <w:rFonts w:ascii="Times New Roman" w:hAnsi="Times New Roman" w:cs="Times New Roman"/>
                <w:b/>
              </w:rPr>
            </w:pPr>
            <w:r w:rsidRPr="000E2AA6">
              <w:rPr>
                <w:rFonts w:ascii="Times New Roman" w:hAnsi="Times New Roman" w:cs="Times New Roman"/>
                <w:b/>
              </w:rPr>
              <w:t xml:space="preserve">Titlul actului Uniunii Europene, </w:t>
            </w:r>
            <w:r w:rsidR="0028227C" w:rsidRPr="000E2AA6">
              <w:rPr>
                <w:rFonts w:ascii="Times New Roman" w:hAnsi="Times New Roman" w:cs="Times New Roman"/>
                <w:b/>
              </w:rPr>
              <w:t>inclusiv</w:t>
            </w:r>
            <w:r w:rsidRPr="000E2AA6">
              <w:rPr>
                <w:rFonts w:ascii="Times New Roman" w:hAnsi="Times New Roman" w:cs="Times New Roman"/>
                <w:b/>
              </w:rPr>
              <w:t xml:space="preserve"> cele mai recente amendamente incluse</w:t>
            </w:r>
            <w:r w:rsidR="00654D0D" w:rsidRPr="000E2AA6">
              <w:rPr>
                <w:rFonts w:ascii="Times New Roman" w:hAnsi="Times New Roman" w:cs="Times New Roman"/>
                <w:b/>
              </w:rPr>
              <w:t xml:space="preserve"> </w:t>
            </w:r>
          </w:p>
          <w:p w14:paraId="63DE60DD" w14:textId="77777777" w:rsidR="00B5510F" w:rsidRPr="000E2AA6" w:rsidRDefault="003701CB" w:rsidP="0064787B">
            <w:pPr>
              <w:pStyle w:val="Default"/>
              <w:rPr>
                <w:rFonts w:ascii="Times New Roman" w:hAnsi="Times New Roman" w:cs="Times New Roman"/>
                <w:sz w:val="22"/>
                <w:szCs w:val="22"/>
              </w:rPr>
            </w:pPr>
            <w:r w:rsidRPr="000E2AA6">
              <w:rPr>
                <w:rFonts w:ascii="Times New Roman" w:hAnsi="Times New Roman" w:cs="Times New Roman"/>
                <w:sz w:val="22"/>
                <w:szCs w:val="22"/>
              </w:rPr>
              <w:t>Ghidul privind riscul propriu și evaluarea solvabilității</w:t>
            </w:r>
            <w:r w:rsidR="00931351" w:rsidRPr="000E2AA6">
              <w:rPr>
                <w:rFonts w:ascii="Times New Roman" w:hAnsi="Times New Roman" w:cs="Times New Roman"/>
                <w:sz w:val="22"/>
                <w:szCs w:val="22"/>
              </w:rPr>
              <w:t xml:space="preserve"> EIOPA-BoS-14/259</w:t>
            </w:r>
            <w:r w:rsidR="006D1C6F" w:rsidRPr="000E2AA6">
              <w:rPr>
                <w:rFonts w:ascii="Times New Roman" w:hAnsi="Times New Roman" w:cs="Times New Roman"/>
                <w:sz w:val="22"/>
                <w:szCs w:val="22"/>
              </w:rPr>
              <w:t>, se aplică de la 1 ianuarie 2016</w:t>
            </w:r>
            <w:r w:rsidRPr="000E2AA6">
              <w:rPr>
                <w:rFonts w:ascii="Times New Roman" w:hAnsi="Times New Roman" w:cs="Times New Roman"/>
                <w:sz w:val="22"/>
                <w:szCs w:val="22"/>
              </w:rPr>
              <w:t xml:space="preserve">, emis de </w:t>
            </w:r>
            <w:r w:rsidR="00931351" w:rsidRPr="000E2AA6">
              <w:rPr>
                <w:rFonts w:ascii="Times New Roman" w:hAnsi="Times New Roman" w:cs="Times New Roman"/>
                <w:sz w:val="22"/>
                <w:szCs w:val="22"/>
              </w:rPr>
              <w:t xml:space="preserve">Autoritatea Europeană de asigurări și </w:t>
            </w:r>
            <w:r w:rsidR="0064787B" w:rsidRPr="000E2AA6">
              <w:rPr>
                <w:rFonts w:ascii="Times New Roman" w:hAnsi="Times New Roman" w:cs="Times New Roman"/>
                <w:sz w:val="22"/>
                <w:szCs w:val="22"/>
              </w:rPr>
              <w:t>pensii ocupaționale</w:t>
            </w:r>
            <w:r w:rsidR="00931351" w:rsidRPr="000E2AA6">
              <w:rPr>
                <w:rFonts w:ascii="Times New Roman" w:hAnsi="Times New Roman" w:cs="Times New Roman"/>
                <w:sz w:val="22"/>
                <w:szCs w:val="22"/>
              </w:rPr>
              <w:t xml:space="preserve"> (</w:t>
            </w:r>
            <w:r w:rsidRPr="000E2AA6">
              <w:rPr>
                <w:rFonts w:ascii="Times New Roman" w:hAnsi="Times New Roman" w:cs="Times New Roman"/>
                <w:sz w:val="22"/>
                <w:szCs w:val="22"/>
              </w:rPr>
              <w:t xml:space="preserve">European </w:t>
            </w:r>
            <w:r w:rsidR="0006289E" w:rsidRPr="000E2AA6">
              <w:rPr>
                <w:rFonts w:ascii="Times New Roman" w:hAnsi="Times New Roman" w:cs="Times New Roman"/>
                <w:sz w:val="22"/>
                <w:szCs w:val="22"/>
              </w:rPr>
              <w:t>Insurance and Occupational Pensions Authority (EIOPA)</w:t>
            </w:r>
            <w:r w:rsidR="00931351" w:rsidRPr="000E2AA6">
              <w:rPr>
                <w:rFonts w:ascii="Times New Roman" w:hAnsi="Times New Roman" w:cs="Times New Roman"/>
                <w:sz w:val="22"/>
                <w:szCs w:val="22"/>
              </w:rPr>
              <w:t xml:space="preserve">) </w:t>
            </w:r>
            <w:r w:rsidRPr="000E2AA6">
              <w:rPr>
                <w:rFonts w:ascii="Times New Roman" w:hAnsi="Times New Roman" w:cs="Times New Roman"/>
                <w:sz w:val="22"/>
                <w:szCs w:val="22"/>
              </w:rPr>
              <w:t xml:space="preserve"> </w:t>
            </w:r>
          </w:p>
        </w:tc>
      </w:tr>
      <w:tr w:rsidR="00B279A0" w:rsidRPr="000E2AA6" w14:paraId="6DD46D36" w14:textId="77777777" w:rsidTr="00B279A0">
        <w:tc>
          <w:tcPr>
            <w:tcW w:w="279" w:type="dxa"/>
            <w:shd w:val="clear" w:color="auto" w:fill="D9D9D9" w:themeFill="background1" w:themeFillShade="D9"/>
          </w:tcPr>
          <w:p w14:paraId="07892D36" w14:textId="77777777" w:rsidR="00B279A0" w:rsidRPr="000E2AA6" w:rsidRDefault="00B279A0" w:rsidP="00B279A0">
            <w:pPr>
              <w:jc w:val="center"/>
              <w:rPr>
                <w:rFonts w:ascii="Times New Roman" w:hAnsi="Times New Roman" w:cs="Times New Roman"/>
                <w:b/>
              </w:rPr>
            </w:pPr>
            <w:r w:rsidRPr="000E2AA6">
              <w:rPr>
                <w:rFonts w:ascii="Times New Roman" w:hAnsi="Times New Roman" w:cs="Times New Roman"/>
                <w:b/>
              </w:rPr>
              <w:t>2</w:t>
            </w:r>
          </w:p>
        </w:tc>
        <w:tc>
          <w:tcPr>
            <w:tcW w:w="13283" w:type="dxa"/>
          </w:tcPr>
          <w:p w14:paraId="3498181B" w14:textId="77777777" w:rsidR="00B5510F" w:rsidRPr="000E2AA6" w:rsidRDefault="00B279A0" w:rsidP="00B279A0">
            <w:pPr>
              <w:jc w:val="both"/>
              <w:rPr>
                <w:rFonts w:ascii="Times New Roman" w:hAnsi="Times New Roman" w:cs="Times New Roman"/>
                <w:b/>
              </w:rPr>
            </w:pPr>
            <w:r w:rsidRPr="000E2AA6">
              <w:rPr>
                <w:rFonts w:ascii="Times New Roman" w:hAnsi="Times New Roman" w:cs="Times New Roman"/>
                <w:b/>
              </w:rPr>
              <w:t xml:space="preserve">Titlul proiectului de act </w:t>
            </w:r>
            <w:r w:rsidR="00FB138C" w:rsidRPr="000E2AA6">
              <w:rPr>
                <w:rFonts w:ascii="Times New Roman" w:hAnsi="Times New Roman" w:cs="Times New Roman"/>
                <w:b/>
              </w:rPr>
              <w:t>normativ</w:t>
            </w:r>
            <w:r w:rsidRPr="000E2AA6">
              <w:rPr>
                <w:rFonts w:ascii="Times New Roman" w:hAnsi="Times New Roman" w:cs="Times New Roman"/>
                <w:b/>
              </w:rPr>
              <w:t xml:space="preserve"> </w:t>
            </w:r>
            <w:r w:rsidR="00654D0D" w:rsidRPr="000E2AA6">
              <w:rPr>
                <w:rFonts w:ascii="Times New Roman" w:hAnsi="Times New Roman" w:cs="Times New Roman"/>
                <w:b/>
              </w:rPr>
              <w:t xml:space="preserve">national      </w:t>
            </w:r>
          </w:p>
          <w:p w14:paraId="49E19315" w14:textId="07DCB6C0" w:rsidR="00B279A0" w:rsidRPr="000E2AA6" w:rsidRDefault="00654D0D" w:rsidP="00B279A0">
            <w:pPr>
              <w:jc w:val="both"/>
              <w:rPr>
                <w:rFonts w:ascii="Times New Roman" w:hAnsi="Times New Roman" w:cs="Times New Roman"/>
                <w:b/>
              </w:rPr>
            </w:pPr>
            <w:r w:rsidRPr="000E2AA6">
              <w:rPr>
                <w:rFonts w:ascii="Times New Roman" w:hAnsi="Times New Roman" w:cs="Times New Roman"/>
                <w:b/>
              </w:rPr>
              <w:t xml:space="preserve"> </w:t>
            </w:r>
            <w:r w:rsidR="0006289E" w:rsidRPr="000E2AA6">
              <w:rPr>
                <w:rFonts w:ascii="Times New Roman" w:hAnsi="Times New Roman" w:cs="Times New Roman"/>
              </w:rPr>
              <w:t>P</w:t>
            </w:r>
            <w:r w:rsidR="00B5510F" w:rsidRPr="000E2AA6">
              <w:rPr>
                <w:rFonts w:ascii="Times New Roman" w:hAnsi="Times New Roman" w:cs="Times New Roman"/>
              </w:rPr>
              <w:t>roiectul</w:t>
            </w:r>
            <w:r w:rsidR="00B5510F" w:rsidRPr="000E2AA6">
              <w:rPr>
                <w:rFonts w:ascii="Times New Roman" w:hAnsi="Times New Roman" w:cs="Times New Roman"/>
                <w:b/>
              </w:rPr>
              <w:t xml:space="preserve"> </w:t>
            </w:r>
            <w:r w:rsidR="00B5510F" w:rsidRPr="000E2AA6">
              <w:rPr>
                <w:rFonts w:ascii="Times New Roman" w:hAnsi="Times New Roman" w:cs="Times New Roman"/>
              </w:rPr>
              <w:t>Regulamentul</w:t>
            </w:r>
            <w:r w:rsidR="00BB074A">
              <w:rPr>
                <w:rFonts w:ascii="Times New Roman" w:hAnsi="Times New Roman" w:cs="Times New Roman"/>
              </w:rPr>
              <w:t>ui</w:t>
            </w:r>
            <w:r w:rsidR="00B5510F" w:rsidRPr="000E2AA6">
              <w:rPr>
                <w:rFonts w:ascii="Times New Roman" w:hAnsi="Times New Roman" w:cs="Times New Roman"/>
              </w:rPr>
              <w:t xml:space="preserve"> privind evaluarea internă a riscurilor proprii și a solvabilității de către societățile de asigurare sau de reasigurare și </w:t>
            </w:r>
            <w:r w:rsidR="00DE10CC" w:rsidRPr="000E2AA6">
              <w:rPr>
                <w:rFonts w:ascii="Times New Roman" w:hAnsi="Times New Roman" w:cs="Times New Roman"/>
              </w:rPr>
              <w:t>cerințele cu privire la efectuarea  testelor pentru evaluarea capacității de menținere a stabilității financiare</w:t>
            </w:r>
          </w:p>
        </w:tc>
      </w:tr>
      <w:tr w:rsidR="00B279A0" w:rsidRPr="000E2AA6" w14:paraId="5F81F606" w14:textId="77777777" w:rsidTr="00B279A0">
        <w:tc>
          <w:tcPr>
            <w:tcW w:w="279" w:type="dxa"/>
            <w:shd w:val="clear" w:color="auto" w:fill="D9D9D9" w:themeFill="background1" w:themeFillShade="D9"/>
          </w:tcPr>
          <w:p w14:paraId="096E8FA1" w14:textId="77777777" w:rsidR="00B279A0" w:rsidRPr="000E2AA6" w:rsidRDefault="00B279A0" w:rsidP="00B279A0">
            <w:pPr>
              <w:jc w:val="center"/>
              <w:rPr>
                <w:rFonts w:ascii="Times New Roman" w:hAnsi="Times New Roman" w:cs="Times New Roman"/>
                <w:b/>
              </w:rPr>
            </w:pPr>
            <w:r w:rsidRPr="000E2AA6">
              <w:rPr>
                <w:rFonts w:ascii="Times New Roman" w:hAnsi="Times New Roman" w:cs="Times New Roman"/>
                <w:b/>
              </w:rPr>
              <w:t>3</w:t>
            </w:r>
          </w:p>
        </w:tc>
        <w:tc>
          <w:tcPr>
            <w:tcW w:w="13283" w:type="dxa"/>
          </w:tcPr>
          <w:p w14:paraId="7188D340" w14:textId="77777777" w:rsidR="00B5510F" w:rsidRPr="000E2AA6" w:rsidRDefault="00B279A0" w:rsidP="00480D80">
            <w:pPr>
              <w:jc w:val="both"/>
              <w:rPr>
                <w:rFonts w:ascii="Times New Roman" w:hAnsi="Times New Roman" w:cs="Times New Roman"/>
                <w:b/>
              </w:rPr>
            </w:pPr>
            <w:r w:rsidRPr="000E2AA6">
              <w:rPr>
                <w:rFonts w:ascii="Times New Roman" w:hAnsi="Times New Roman" w:cs="Times New Roman"/>
                <w:b/>
              </w:rPr>
              <w:t>Gradul general de compatibilitate</w:t>
            </w:r>
            <w:r w:rsidR="00654D0D" w:rsidRPr="000E2AA6">
              <w:rPr>
                <w:rFonts w:ascii="Times New Roman" w:hAnsi="Times New Roman" w:cs="Times New Roman"/>
                <w:b/>
              </w:rPr>
              <w:t xml:space="preserve">                     </w:t>
            </w:r>
          </w:p>
          <w:p w14:paraId="291D2E32" w14:textId="77777777" w:rsidR="00B279A0" w:rsidRPr="000E2AA6" w:rsidRDefault="00654D0D" w:rsidP="00480D80">
            <w:pPr>
              <w:jc w:val="both"/>
              <w:rPr>
                <w:rFonts w:ascii="Times New Roman" w:hAnsi="Times New Roman" w:cs="Times New Roman"/>
                <w:b/>
              </w:rPr>
            </w:pPr>
            <w:r w:rsidRPr="000E2AA6">
              <w:rPr>
                <w:rFonts w:ascii="Times New Roman" w:hAnsi="Times New Roman" w:cs="Times New Roman"/>
              </w:rPr>
              <w:t>Transpu</w:t>
            </w:r>
            <w:r w:rsidR="00480D80" w:rsidRPr="000E2AA6">
              <w:rPr>
                <w:rFonts w:ascii="Times New Roman" w:hAnsi="Times New Roman" w:cs="Times New Roman"/>
              </w:rPr>
              <w:t>s</w:t>
            </w:r>
            <w:r w:rsidRPr="000E2AA6">
              <w:rPr>
                <w:rFonts w:ascii="Times New Roman" w:hAnsi="Times New Roman" w:cs="Times New Roman"/>
              </w:rPr>
              <w:t xml:space="preserve"> parțial</w:t>
            </w:r>
          </w:p>
        </w:tc>
      </w:tr>
    </w:tbl>
    <w:p w14:paraId="17C8376C" w14:textId="77777777" w:rsidR="00B279A0" w:rsidRPr="000E2AA6" w:rsidRDefault="00B279A0" w:rsidP="00B279A0">
      <w:pPr>
        <w:jc w:val="both"/>
        <w:rPr>
          <w:rFonts w:ascii="Times New Roman" w:hAnsi="Times New Roman" w:cs="Times New Roman"/>
        </w:rPr>
      </w:pPr>
    </w:p>
    <w:tbl>
      <w:tblPr>
        <w:tblStyle w:val="TableGrid"/>
        <w:tblW w:w="13462" w:type="dxa"/>
        <w:tblLayout w:type="fixed"/>
        <w:tblLook w:val="04A0" w:firstRow="1" w:lastRow="0" w:firstColumn="1" w:lastColumn="0" w:noHBand="0" w:noVBand="1"/>
      </w:tblPr>
      <w:tblGrid>
        <w:gridCol w:w="3114"/>
        <w:gridCol w:w="3260"/>
        <w:gridCol w:w="1276"/>
        <w:gridCol w:w="2410"/>
        <w:gridCol w:w="1984"/>
        <w:gridCol w:w="1418"/>
      </w:tblGrid>
      <w:tr w:rsidR="00DC3BA0" w:rsidRPr="000E2AA6" w14:paraId="206CFF88" w14:textId="77777777" w:rsidTr="00BB074A">
        <w:tc>
          <w:tcPr>
            <w:tcW w:w="3114" w:type="dxa"/>
            <w:shd w:val="clear" w:color="auto" w:fill="D9D9D9" w:themeFill="background1" w:themeFillShade="D9"/>
          </w:tcPr>
          <w:p w14:paraId="7702EBA5"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Actul Uniunii Europene</w:t>
            </w:r>
          </w:p>
        </w:tc>
        <w:tc>
          <w:tcPr>
            <w:tcW w:w="3260" w:type="dxa"/>
            <w:shd w:val="clear" w:color="auto" w:fill="D9D9D9" w:themeFill="background1" w:themeFillShade="D9"/>
          </w:tcPr>
          <w:p w14:paraId="461708BC"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Proiectul de act normative național</w:t>
            </w:r>
          </w:p>
        </w:tc>
        <w:tc>
          <w:tcPr>
            <w:tcW w:w="1276" w:type="dxa"/>
            <w:shd w:val="clear" w:color="auto" w:fill="D9D9D9" w:themeFill="background1" w:themeFillShade="D9"/>
          </w:tcPr>
          <w:p w14:paraId="7CB6EE6F"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Gradul de compatibilitate</w:t>
            </w:r>
          </w:p>
        </w:tc>
        <w:tc>
          <w:tcPr>
            <w:tcW w:w="2410" w:type="dxa"/>
            <w:shd w:val="clear" w:color="auto" w:fill="D9D9D9" w:themeFill="background1" w:themeFillShade="D9"/>
          </w:tcPr>
          <w:p w14:paraId="10E605DF"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Diferențele</w:t>
            </w:r>
          </w:p>
        </w:tc>
        <w:tc>
          <w:tcPr>
            <w:tcW w:w="1984" w:type="dxa"/>
            <w:shd w:val="clear" w:color="auto" w:fill="D9D9D9" w:themeFill="background1" w:themeFillShade="D9"/>
          </w:tcPr>
          <w:p w14:paraId="637C0511"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Observațiile</w:t>
            </w:r>
          </w:p>
        </w:tc>
        <w:tc>
          <w:tcPr>
            <w:tcW w:w="1418" w:type="dxa"/>
            <w:shd w:val="clear" w:color="auto" w:fill="D9D9D9" w:themeFill="background1" w:themeFillShade="D9"/>
          </w:tcPr>
          <w:p w14:paraId="27DB3AD7"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Autoritatea/persoana responsabilă</w:t>
            </w:r>
          </w:p>
        </w:tc>
      </w:tr>
      <w:tr w:rsidR="00DC3BA0" w:rsidRPr="000E2AA6" w14:paraId="5A7FEF85" w14:textId="77777777" w:rsidTr="00BB074A">
        <w:tc>
          <w:tcPr>
            <w:tcW w:w="3114" w:type="dxa"/>
            <w:shd w:val="clear" w:color="auto" w:fill="D9D9D9" w:themeFill="background1" w:themeFillShade="D9"/>
          </w:tcPr>
          <w:p w14:paraId="1093CB71"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4</w:t>
            </w:r>
          </w:p>
        </w:tc>
        <w:tc>
          <w:tcPr>
            <w:tcW w:w="3260" w:type="dxa"/>
            <w:shd w:val="clear" w:color="auto" w:fill="D9D9D9" w:themeFill="background1" w:themeFillShade="D9"/>
          </w:tcPr>
          <w:p w14:paraId="10F06906"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5</w:t>
            </w:r>
          </w:p>
        </w:tc>
        <w:tc>
          <w:tcPr>
            <w:tcW w:w="1276" w:type="dxa"/>
            <w:shd w:val="clear" w:color="auto" w:fill="D9D9D9" w:themeFill="background1" w:themeFillShade="D9"/>
          </w:tcPr>
          <w:p w14:paraId="71F9BCC8"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6</w:t>
            </w:r>
          </w:p>
        </w:tc>
        <w:tc>
          <w:tcPr>
            <w:tcW w:w="2410" w:type="dxa"/>
            <w:shd w:val="clear" w:color="auto" w:fill="D9D9D9" w:themeFill="background1" w:themeFillShade="D9"/>
          </w:tcPr>
          <w:p w14:paraId="14CC27F0"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7</w:t>
            </w:r>
          </w:p>
        </w:tc>
        <w:tc>
          <w:tcPr>
            <w:tcW w:w="1984" w:type="dxa"/>
            <w:shd w:val="clear" w:color="auto" w:fill="D9D9D9" w:themeFill="background1" w:themeFillShade="D9"/>
          </w:tcPr>
          <w:p w14:paraId="7724EF96"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8</w:t>
            </w:r>
          </w:p>
        </w:tc>
        <w:tc>
          <w:tcPr>
            <w:tcW w:w="1418" w:type="dxa"/>
            <w:shd w:val="clear" w:color="auto" w:fill="D9D9D9" w:themeFill="background1" w:themeFillShade="D9"/>
          </w:tcPr>
          <w:p w14:paraId="5F083FAE" w14:textId="77777777" w:rsidR="00DC3BA0" w:rsidRPr="000E2AA6" w:rsidRDefault="00DC3BA0" w:rsidP="00DC3BA0">
            <w:pPr>
              <w:jc w:val="center"/>
              <w:rPr>
                <w:rFonts w:ascii="Times New Roman" w:hAnsi="Times New Roman" w:cs="Times New Roman"/>
                <w:b/>
              </w:rPr>
            </w:pPr>
            <w:r w:rsidRPr="000E2AA6">
              <w:rPr>
                <w:rFonts w:ascii="Times New Roman" w:hAnsi="Times New Roman" w:cs="Times New Roman"/>
                <w:b/>
              </w:rPr>
              <w:t>9</w:t>
            </w:r>
          </w:p>
        </w:tc>
      </w:tr>
      <w:tr w:rsidR="00DC3BA0" w:rsidRPr="000E2AA6" w14:paraId="01D06BE6" w14:textId="77777777" w:rsidTr="00BB074A">
        <w:tc>
          <w:tcPr>
            <w:tcW w:w="3114" w:type="dxa"/>
          </w:tcPr>
          <w:p w14:paraId="79149E13" w14:textId="77777777" w:rsidR="004C2995" w:rsidRPr="000E2AA6" w:rsidRDefault="004C2995" w:rsidP="004C2995">
            <w:pPr>
              <w:pStyle w:val="Default"/>
              <w:jc w:val="both"/>
              <w:rPr>
                <w:rFonts w:ascii="Times New Roman" w:hAnsi="Times New Roman" w:cs="Times New Roman"/>
                <w:sz w:val="22"/>
                <w:szCs w:val="22"/>
              </w:rPr>
            </w:pPr>
            <w:r w:rsidRPr="000E2AA6">
              <w:rPr>
                <w:rFonts w:ascii="Times New Roman" w:hAnsi="Times New Roman" w:cs="Times New Roman"/>
                <w:sz w:val="22"/>
                <w:szCs w:val="22"/>
              </w:rPr>
              <w:t>1.1. Conform articolului 16 din Regulamentul (UE) Nr. 1094/2010 al Parlamentului European și al Consiliului din 24 noiembrie 2010 de instituire a Autorității europene de supraveghere (denumit în continuare „Regulamentul EIOPA”), EIOPA emite prezentul ghid adresat autorităților de supraveghere cu privire la modul de a proceda la aplicarea Directivei 2009/138/CE a Parlamentului European și a Consiliului din 25 noiembrie 2009 privind accesul la activitate și desfășurarea activității de asigurare și reasigurare (denumită în continuare „Solvabilitate II”)</w:t>
            </w:r>
          </w:p>
          <w:p w14:paraId="27013A29" w14:textId="77777777" w:rsidR="00DC3BA0" w:rsidRPr="000E2AA6" w:rsidRDefault="00DC3BA0" w:rsidP="004C2995">
            <w:pPr>
              <w:jc w:val="both"/>
              <w:rPr>
                <w:rFonts w:ascii="Times New Roman" w:hAnsi="Times New Roman" w:cs="Times New Roman"/>
              </w:rPr>
            </w:pPr>
          </w:p>
        </w:tc>
        <w:tc>
          <w:tcPr>
            <w:tcW w:w="3260" w:type="dxa"/>
          </w:tcPr>
          <w:p w14:paraId="75210917" w14:textId="77777777" w:rsidR="000C0CDB" w:rsidRPr="000E2AA6" w:rsidRDefault="000C0CDB" w:rsidP="000C0CDB">
            <w:pPr>
              <w:jc w:val="both"/>
              <w:rPr>
                <w:rFonts w:ascii="Times New Roman" w:hAnsi="Times New Roman" w:cs="Times New Roman"/>
              </w:rPr>
            </w:pPr>
            <w:r w:rsidRPr="000E2AA6">
              <w:rPr>
                <w:rFonts w:ascii="Times New Roman" w:hAnsi="Times New Roman" w:cs="Times New Roman"/>
              </w:rPr>
              <w:t>În temeiul prevederilor art</w:t>
            </w:r>
            <w:r w:rsidR="002B2972" w:rsidRPr="000E2AA6">
              <w:rPr>
                <w:rFonts w:ascii="Times New Roman" w:hAnsi="Times New Roman" w:cs="Times New Roman"/>
              </w:rPr>
              <w:t xml:space="preserve">. </w:t>
            </w:r>
            <w:r w:rsidRPr="000E2AA6">
              <w:rPr>
                <w:rFonts w:ascii="Times New Roman" w:hAnsi="Times New Roman" w:cs="Times New Roman"/>
              </w:rPr>
              <w:t>39 alin</w:t>
            </w:r>
            <w:r w:rsidR="002B2972" w:rsidRPr="000E2AA6">
              <w:rPr>
                <w:rFonts w:ascii="Times New Roman" w:hAnsi="Times New Roman" w:cs="Times New Roman"/>
              </w:rPr>
              <w:t>.</w:t>
            </w:r>
            <w:r w:rsidRPr="000E2AA6">
              <w:rPr>
                <w:rFonts w:ascii="Times New Roman" w:hAnsi="Times New Roman" w:cs="Times New Roman"/>
              </w:rPr>
              <w:t xml:space="preserve"> (2), art</w:t>
            </w:r>
            <w:r w:rsidR="002B2972" w:rsidRPr="000E2AA6">
              <w:rPr>
                <w:rFonts w:ascii="Times New Roman" w:hAnsi="Times New Roman" w:cs="Times New Roman"/>
              </w:rPr>
              <w:t>.</w:t>
            </w:r>
            <w:r w:rsidRPr="000E2AA6">
              <w:rPr>
                <w:rFonts w:ascii="Times New Roman" w:hAnsi="Times New Roman" w:cs="Times New Roman"/>
              </w:rPr>
              <w:t xml:space="preserve"> 116 alin</w:t>
            </w:r>
            <w:r w:rsidR="002B2972" w:rsidRPr="000E2AA6">
              <w:rPr>
                <w:rFonts w:ascii="Times New Roman" w:hAnsi="Times New Roman" w:cs="Times New Roman"/>
              </w:rPr>
              <w:t>.</w:t>
            </w:r>
            <w:r w:rsidRPr="000E2AA6">
              <w:rPr>
                <w:rFonts w:ascii="Times New Roman" w:hAnsi="Times New Roman" w:cs="Times New Roman"/>
              </w:rPr>
              <w:t xml:space="preserve"> (3) din Legea nr.92/2022 privind activitatea de asigurare sau de reasigurare (Monitorul Oficial al Republicii Moldova, 2022, nr.129-133, art.229), cu modificările ulterioare, cu modificările ulterioare, Comitetul executiv</w:t>
            </w:r>
          </w:p>
          <w:p w14:paraId="0F669B2A" w14:textId="77777777" w:rsidR="000C0CDB" w:rsidRPr="000E2AA6" w:rsidRDefault="000C0CDB" w:rsidP="000C0CDB">
            <w:pPr>
              <w:jc w:val="both"/>
              <w:rPr>
                <w:rFonts w:ascii="Times New Roman" w:hAnsi="Times New Roman" w:cs="Times New Roman"/>
              </w:rPr>
            </w:pPr>
          </w:p>
          <w:p w14:paraId="6E5B4BA2" w14:textId="77777777" w:rsidR="000C0CDB" w:rsidRPr="000E2AA6" w:rsidRDefault="000C0CDB" w:rsidP="000C0CDB">
            <w:pPr>
              <w:jc w:val="both"/>
              <w:rPr>
                <w:rFonts w:ascii="Times New Roman" w:hAnsi="Times New Roman" w:cs="Times New Roman"/>
              </w:rPr>
            </w:pPr>
            <w:r w:rsidRPr="000E2AA6">
              <w:rPr>
                <w:rFonts w:ascii="Times New Roman" w:hAnsi="Times New Roman" w:cs="Times New Roman"/>
              </w:rPr>
              <w:t>HOTĂRĂŞTE:</w:t>
            </w:r>
          </w:p>
          <w:p w14:paraId="3F717A97" w14:textId="77777777" w:rsidR="00DC3BA0" w:rsidRPr="000E2AA6" w:rsidRDefault="000C0CDB" w:rsidP="00A17A6F">
            <w:pPr>
              <w:jc w:val="both"/>
              <w:rPr>
                <w:rFonts w:ascii="Times New Roman" w:hAnsi="Times New Roman" w:cs="Times New Roman"/>
              </w:rPr>
            </w:pPr>
            <w:r w:rsidRPr="000E2AA6">
              <w:rPr>
                <w:rFonts w:ascii="Times New Roman" w:hAnsi="Times New Roman" w:cs="Times New Roman"/>
              </w:rPr>
              <w:t xml:space="preserve">1. Se aprobă Regulamentul privind evaluarea internă a riscurilor proprii și a solvabilității de către societățile de asigurare sau de reasigurare și </w:t>
            </w:r>
            <w:r w:rsidR="00A17A6F" w:rsidRPr="000E2AA6">
              <w:rPr>
                <w:rFonts w:ascii="Times New Roman" w:hAnsi="Times New Roman" w:cs="Times New Roman"/>
              </w:rPr>
              <w:t>cerințele cu privire la efectuarea testelor pentru evaluarea capacității de menținere a stabilității financiare</w:t>
            </w:r>
            <w:r w:rsidRPr="000E2AA6">
              <w:rPr>
                <w:rFonts w:ascii="Times New Roman" w:hAnsi="Times New Roman" w:cs="Times New Roman"/>
              </w:rPr>
              <w:t xml:space="preserve"> (se anexează).</w:t>
            </w:r>
          </w:p>
        </w:tc>
        <w:tc>
          <w:tcPr>
            <w:tcW w:w="1276" w:type="dxa"/>
          </w:tcPr>
          <w:p w14:paraId="7F78CCB1" w14:textId="77777777" w:rsidR="00DC3BA0" w:rsidRPr="000E2AA6" w:rsidRDefault="000C0CDB" w:rsidP="00B279A0">
            <w:pPr>
              <w:jc w:val="both"/>
              <w:rPr>
                <w:rFonts w:ascii="Times New Roman" w:hAnsi="Times New Roman" w:cs="Times New Roman"/>
              </w:rPr>
            </w:pPr>
            <w:r w:rsidRPr="000E2AA6">
              <w:rPr>
                <w:rFonts w:ascii="Times New Roman" w:hAnsi="Times New Roman" w:cs="Times New Roman"/>
              </w:rPr>
              <w:t>Partial compatibil</w:t>
            </w:r>
          </w:p>
          <w:p w14:paraId="58519A56" w14:textId="77777777" w:rsidR="00792504" w:rsidRPr="000E2AA6" w:rsidRDefault="00792504" w:rsidP="00B279A0">
            <w:pPr>
              <w:jc w:val="both"/>
              <w:rPr>
                <w:rFonts w:ascii="Times New Roman" w:hAnsi="Times New Roman" w:cs="Times New Roman"/>
              </w:rPr>
            </w:pPr>
          </w:p>
        </w:tc>
        <w:tc>
          <w:tcPr>
            <w:tcW w:w="2410" w:type="dxa"/>
          </w:tcPr>
          <w:p w14:paraId="4D9AAEC8" w14:textId="77777777" w:rsidR="0099626C" w:rsidRPr="000E2AA6" w:rsidRDefault="0099626C" w:rsidP="0099626C">
            <w:pPr>
              <w:jc w:val="both"/>
              <w:rPr>
                <w:rFonts w:ascii="Times New Roman" w:hAnsi="Times New Roman" w:cs="Times New Roman"/>
              </w:rPr>
            </w:pPr>
            <w:r w:rsidRPr="000E2AA6">
              <w:rPr>
                <w:rFonts w:ascii="Times New Roman" w:hAnsi="Times New Roman" w:cs="Times New Roman"/>
              </w:rPr>
              <w:t xml:space="preserve">Potrivit Directivei 2009/138/CE evaluarea solvabilității (cerința de capital de solvabilitate - SCR) se evaluează din punct de vedere al profilului de risc. Reglementările SCR se regăsesc în Pilonul I al Directivei,   evaluarea internă a riscurilor proprii și a solvabilității </w:t>
            </w:r>
            <w:proofErr w:type="gramStart"/>
            <w:r w:rsidRPr="000E2AA6">
              <w:rPr>
                <w:rFonts w:ascii="Times New Roman" w:hAnsi="Times New Roman" w:cs="Times New Roman"/>
              </w:rPr>
              <w:t>este  partea</w:t>
            </w:r>
            <w:proofErr w:type="gramEnd"/>
            <w:r w:rsidRPr="000E2AA6">
              <w:rPr>
                <w:rFonts w:ascii="Times New Roman" w:hAnsi="Times New Roman" w:cs="Times New Roman"/>
              </w:rPr>
              <w:t xml:space="preserve"> Pilonului II.</w:t>
            </w:r>
          </w:p>
          <w:p w14:paraId="42300AD1" w14:textId="77777777" w:rsidR="00DC3BA0" w:rsidRPr="000E2AA6" w:rsidRDefault="003A3A56" w:rsidP="0099626C">
            <w:pPr>
              <w:jc w:val="both"/>
              <w:rPr>
                <w:rFonts w:ascii="Times New Roman" w:hAnsi="Times New Roman" w:cs="Times New Roman"/>
              </w:rPr>
            </w:pPr>
            <w:r w:rsidRPr="000E2AA6">
              <w:rPr>
                <w:rFonts w:ascii="Times New Roman" w:hAnsi="Times New Roman" w:cs="Times New Roman"/>
              </w:rPr>
              <w:t xml:space="preserve">Legea nr. 92/2022 privind activitatea de asigurare sau de reasigurare transpune partial Directiva 2009/138/CE, Pilonul II și Pilonul III. </w:t>
            </w:r>
          </w:p>
          <w:p w14:paraId="481BDDCD" w14:textId="77777777" w:rsidR="0099626C" w:rsidRPr="000E2AA6" w:rsidRDefault="000F3332" w:rsidP="000F3332">
            <w:pPr>
              <w:jc w:val="both"/>
              <w:rPr>
                <w:rFonts w:ascii="Times New Roman" w:hAnsi="Times New Roman" w:cs="Times New Roman"/>
              </w:rPr>
            </w:pPr>
            <w:r w:rsidRPr="000E2AA6">
              <w:rPr>
                <w:rFonts w:ascii="Times New Roman" w:hAnsi="Times New Roman" w:cs="Times New Roman"/>
              </w:rPr>
              <w:t>Având în vedere că cadrul primar nu prevede SCR, p</w:t>
            </w:r>
            <w:r w:rsidR="0099626C" w:rsidRPr="000E2AA6">
              <w:rPr>
                <w:rFonts w:ascii="Times New Roman" w:hAnsi="Times New Roman" w:cs="Times New Roman"/>
              </w:rPr>
              <w:t xml:space="preserve">roiectul </w:t>
            </w:r>
            <w:r w:rsidRPr="000E2AA6">
              <w:rPr>
                <w:rFonts w:ascii="Times New Roman" w:hAnsi="Times New Roman" w:cs="Times New Roman"/>
              </w:rPr>
              <w:t xml:space="preserve">Regulamentului </w:t>
            </w:r>
            <w:r w:rsidRPr="000E2AA6">
              <w:rPr>
                <w:rFonts w:ascii="Times New Roman" w:hAnsi="Times New Roman" w:cs="Times New Roman"/>
              </w:rPr>
              <w:lastRenderedPageBreak/>
              <w:t>transpune partial Ghidul EIOPA, fiind exceptate prevederile referitoare la SCR.</w:t>
            </w:r>
          </w:p>
        </w:tc>
        <w:tc>
          <w:tcPr>
            <w:tcW w:w="1984" w:type="dxa"/>
          </w:tcPr>
          <w:p w14:paraId="7018CE32" w14:textId="77777777" w:rsidR="00DC3BA0" w:rsidRPr="000E2AA6" w:rsidRDefault="003A3A56" w:rsidP="003A3A56">
            <w:pPr>
              <w:jc w:val="both"/>
              <w:rPr>
                <w:rFonts w:ascii="Times New Roman" w:hAnsi="Times New Roman" w:cs="Times New Roman"/>
              </w:rPr>
            </w:pPr>
            <w:r w:rsidRPr="000E2AA6">
              <w:rPr>
                <w:rFonts w:ascii="Times New Roman" w:hAnsi="Times New Roman" w:cs="Times New Roman"/>
              </w:rPr>
              <w:lastRenderedPageBreak/>
              <w:t>Potrivit Planului Național de acțiuni pentru aderarea RM la UE 2024-2027, aprobat prin Hotărârea Guvenrului nr. 829/2023, în martie 2026 urmează a fi aprobat proiectul de Lege pentru modificarea Legii nr.92/2022 care va transpune integral Directiva 2009/13 Solvency II, în speță Pilonul I care reglementează cerința de capital de solvabilitate (SCR).</w:t>
            </w:r>
          </w:p>
        </w:tc>
        <w:tc>
          <w:tcPr>
            <w:tcW w:w="1418" w:type="dxa"/>
          </w:tcPr>
          <w:p w14:paraId="02AB545F" w14:textId="77777777" w:rsidR="00DC3BA0" w:rsidRPr="000E2AA6" w:rsidRDefault="0057029C" w:rsidP="00B279A0">
            <w:pPr>
              <w:jc w:val="both"/>
              <w:rPr>
                <w:rFonts w:ascii="Times New Roman" w:hAnsi="Times New Roman" w:cs="Times New Roman"/>
              </w:rPr>
            </w:pPr>
            <w:r w:rsidRPr="000E2AA6">
              <w:rPr>
                <w:rFonts w:ascii="Times New Roman" w:hAnsi="Times New Roman" w:cs="Times New Roman"/>
              </w:rPr>
              <w:t>Banca Națională a Moldovei (BNM)</w:t>
            </w:r>
          </w:p>
        </w:tc>
      </w:tr>
      <w:tr w:rsidR="00DC3BA0" w:rsidRPr="000E2AA6" w14:paraId="02B0F2AC" w14:textId="77777777" w:rsidTr="00BB074A">
        <w:tc>
          <w:tcPr>
            <w:tcW w:w="3114" w:type="dxa"/>
          </w:tcPr>
          <w:p w14:paraId="33C8108D" w14:textId="77777777" w:rsidR="004C2995" w:rsidRPr="000E2AA6" w:rsidRDefault="004C2995" w:rsidP="004C299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1.2. Prezentul ghid se bazează pe articolele 41, 44, 45 și pe articolul 246 din Solvabilitate II și pe articolele 262 și 306 din Regulamentul delegat (UE) 2015/35 al Comisiei din 10 octombrie 2014 de completare a Directivei 2009/138/CE (denumit în continuare „Regulamentul delegat 2015/35 al Comisiei”) </w:t>
            </w:r>
          </w:p>
          <w:p w14:paraId="1D2FD254" w14:textId="77777777" w:rsidR="00DC3BA0" w:rsidRPr="000E2AA6" w:rsidRDefault="00DC3BA0" w:rsidP="00B279A0">
            <w:pPr>
              <w:jc w:val="both"/>
              <w:rPr>
                <w:rFonts w:ascii="Times New Roman" w:hAnsi="Times New Roman" w:cs="Times New Roman"/>
              </w:rPr>
            </w:pPr>
          </w:p>
        </w:tc>
        <w:tc>
          <w:tcPr>
            <w:tcW w:w="3260" w:type="dxa"/>
          </w:tcPr>
          <w:p w14:paraId="4EA49BEF" w14:textId="77777777" w:rsidR="007100DB" w:rsidRPr="000E2AA6" w:rsidRDefault="007100DB" w:rsidP="007100DB">
            <w:pPr>
              <w:jc w:val="both"/>
              <w:rPr>
                <w:rFonts w:ascii="Times New Roman" w:hAnsi="Times New Roman" w:cs="Times New Roman"/>
              </w:rPr>
            </w:pPr>
            <w:r w:rsidRPr="000E2AA6">
              <w:rPr>
                <w:rFonts w:ascii="Times New Roman" w:hAnsi="Times New Roman" w:cs="Times New Roman"/>
              </w:rPr>
              <w:t>În temeiul prevederilor art. 39 alin. (2), art. 116 alin. (3) din Legea nr.92/2022 privind activitatea de asigurare sau de reasigurare (Monitorul Oficial al Republicii Moldova, 2022, nr.129-133, art.229), cu modificările ulterioare, cu modificările ulterioare, Comitetul executiv</w:t>
            </w:r>
          </w:p>
          <w:p w14:paraId="1BFEFB3D" w14:textId="77777777" w:rsidR="007100DB" w:rsidRPr="000E2AA6" w:rsidRDefault="007100DB" w:rsidP="007100DB">
            <w:pPr>
              <w:jc w:val="both"/>
              <w:rPr>
                <w:rFonts w:ascii="Times New Roman" w:hAnsi="Times New Roman" w:cs="Times New Roman"/>
              </w:rPr>
            </w:pPr>
          </w:p>
          <w:p w14:paraId="1FF91DB7" w14:textId="77777777" w:rsidR="007100DB" w:rsidRPr="000E2AA6" w:rsidRDefault="007100DB" w:rsidP="007100DB">
            <w:pPr>
              <w:jc w:val="both"/>
              <w:rPr>
                <w:rFonts w:ascii="Times New Roman" w:hAnsi="Times New Roman" w:cs="Times New Roman"/>
              </w:rPr>
            </w:pPr>
            <w:r w:rsidRPr="000E2AA6">
              <w:rPr>
                <w:rFonts w:ascii="Times New Roman" w:hAnsi="Times New Roman" w:cs="Times New Roman"/>
              </w:rPr>
              <w:t>HOTĂRĂŞTE:</w:t>
            </w:r>
          </w:p>
          <w:p w14:paraId="32F5C50E" w14:textId="77777777" w:rsidR="00DC3BA0" w:rsidRPr="000E2AA6" w:rsidRDefault="007100DB" w:rsidP="007100DB">
            <w:pPr>
              <w:jc w:val="both"/>
              <w:rPr>
                <w:rFonts w:ascii="Times New Roman" w:hAnsi="Times New Roman" w:cs="Times New Roman"/>
              </w:rPr>
            </w:pPr>
            <w:r w:rsidRPr="000E2AA6">
              <w:rPr>
                <w:rFonts w:ascii="Times New Roman" w:hAnsi="Times New Roman" w:cs="Times New Roman"/>
              </w:rPr>
              <w:t>1. Se aprobă Regulamentul privind evaluarea internă a riscurilor proprii și a solvabilității de către societățile de asigurare sau de reasigurare și cerințele cu privire la efectuarea testelor pentru evaluarea capacității de menținere a stabilității financiare (se anexează).</w:t>
            </w:r>
          </w:p>
        </w:tc>
        <w:tc>
          <w:tcPr>
            <w:tcW w:w="1276" w:type="dxa"/>
          </w:tcPr>
          <w:p w14:paraId="1995802E" w14:textId="77777777" w:rsidR="00DC3BA0" w:rsidRPr="000E2AA6" w:rsidRDefault="000C0CDB" w:rsidP="00B279A0">
            <w:pPr>
              <w:jc w:val="both"/>
              <w:rPr>
                <w:rFonts w:ascii="Times New Roman" w:hAnsi="Times New Roman" w:cs="Times New Roman"/>
              </w:rPr>
            </w:pPr>
            <w:r w:rsidRPr="000E2AA6">
              <w:rPr>
                <w:rFonts w:ascii="Times New Roman" w:hAnsi="Times New Roman" w:cs="Times New Roman"/>
              </w:rPr>
              <w:t>Partial compatibil</w:t>
            </w:r>
          </w:p>
        </w:tc>
        <w:tc>
          <w:tcPr>
            <w:tcW w:w="2410" w:type="dxa"/>
          </w:tcPr>
          <w:p w14:paraId="1763333D" w14:textId="4B56464A" w:rsidR="0053659A" w:rsidRPr="000E2AA6" w:rsidRDefault="0053659A" w:rsidP="0053659A">
            <w:pPr>
              <w:jc w:val="both"/>
              <w:rPr>
                <w:rFonts w:ascii="Times New Roman" w:hAnsi="Times New Roman" w:cs="Times New Roman"/>
              </w:rPr>
            </w:pPr>
            <w:r w:rsidRPr="000E2AA6">
              <w:rPr>
                <w:rFonts w:ascii="Times New Roman" w:hAnsi="Times New Roman" w:cs="Times New Roman"/>
              </w:rPr>
              <w:t xml:space="preserve">Potrivit Directivei 2009/138/CE evaluarea solvabilității (cerința de capital de solvabilitate - SCR) se evaluează din punct de vedere al profilului de risc. Reglementările SCR se regăsesc în Pilonul I al Directivei, evaluarea internă a riscurilor proprii și a solvabilității </w:t>
            </w:r>
            <w:proofErr w:type="gramStart"/>
            <w:r w:rsidRPr="000E2AA6">
              <w:rPr>
                <w:rFonts w:ascii="Times New Roman" w:hAnsi="Times New Roman" w:cs="Times New Roman"/>
              </w:rPr>
              <w:t>este  partea</w:t>
            </w:r>
            <w:proofErr w:type="gramEnd"/>
            <w:r w:rsidRPr="000E2AA6">
              <w:rPr>
                <w:rFonts w:ascii="Times New Roman" w:hAnsi="Times New Roman" w:cs="Times New Roman"/>
              </w:rPr>
              <w:t xml:space="preserve"> Pilonului II.</w:t>
            </w:r>
          </w:p>
          <w:p w14:paraId="53B16C6C" w14:textId="77777777" w:rsidR="0053659A" w:rsidRPr="000E2AA6" w:rsidRDefault="0053659A" w:rsidP="0053659A">
            <w:pPr>
              <w:jc w:val="both"/>
              <w:rPr>
                <w:rFonts w:ascii="Times New Roman" w:hAnsi="Times New Roman" w:cs="Times New Roman"/>
              </w:rPr>
            </w:pPr>
            <w:r w:rsidRPr="000E2AA6">
              <w:rPr>
                <w:rFonts w:ascii="Times New Roman" w:hAnsi="Times New Roman" w:cs="Times New Roman"/>
              </w:rPr>
              <w:t xml:space="preserve">Legea nr. 92/2022 privind activitatea de asigurare sau de reasigurare transpune partial Directiva 2009/138/CE, Pilonul II și Pilonul III. </w:t>
            </w:r>
          </w:p>
          <w:p w14:paraId="58994D17" w14:textId="77777777" w:rsidR="00DC3BA0" w:rsidRPr="000E2AA6" w:rsidRDefault="0053659A" w:rsidP="0053659A">
            <w:pPr>
              <w:jc w:val="both"/>
              <w:rPr>
                <w:rFonts w:ascii="Times New Roman" w:hAnsi="Times New Roman" w:cs="Times New Roman"/>
              </w:rPr>
            </w:pPr>
            <w:r w:rsidRPr="000E2AA6">
              <w:rPr>
                <w:rFonts w:ascii="Times New Roman" w:hAnsi="Times New Roman" w:cs="Times New Roman"/>
              </w:rPr>
              <w:t>Având în vedere că cadrul primar nu prevede SCR, proiectul Regulamentului transpune partial Ghidul EIOPA, fiind exceptate prevederile referitoare la SCR.</w:t>
            </w:r>
          </w:p>
        </w:tc>
        <w:tc>
          <w:tcPr>
            <w:tcW w:w="1984" w:type="dxa"/>
          </w:tcPr>
          <w:p w14:paraId="0C2F4DBD" w14:textId="77777777" w:rsidR="00DC3BA0" w:rsidRPr="000E2AA6" w:rsidRDefault="0053659A" w:rsidP="0053659A">
            <w:pPr>
              <w:rPr>
                <w:rFonts w:ascii="Times New Roman" w:hAnsi="Times New Roman" w:cs="Times New Roman"/>
              </w:rPr>
            </w:pPr>
            <w:r w:rsidRPr="000E2AA6">
              <w:rPr>
                <w:rFonts w:ascii="Times New Roman" w:hAnsi="Times New Roman" w:cs="Times New Roman"/>
              </w:rPr>
              <w:t>Potrivit Planului Național de acțiuni pentru aderarea RM la UE 2024-2027, aprobat prin Hotărârea Guvenrului nr. 829/2023, în martie 2026 urmează a fi aprobat proiectul de Lege pentru modificarea Legii nr.92/2022 care va transpune integral Directiva 2009/13 Solvency II, în speță Pilonul I care reglementează cerința de capital de solvabilitate (SCR).</w:t>
            </w:r>
          </w:p>
        </w:tc>
        <w:tc>
          <w:tcPr>
            <w:tcW w:w="1418" w:type="dxa"/>
          </w:tcPr>
          <w:p w14:paraId="0DC61219" w14:textId="77777777" w:rsidR="00DC3BA0" w:rsidRPr="000E2AA6" w:rsidRDefault="00EB2575" w:rsidP="00B279A0">
            <w:pPr>
              <w:jc w:val="both"/>
              <w:rPr>
                <w:rFonts w:ascii="Times New Roman" w:hAnsi="Times New Roman" w:cs="Times New Roman"/>
              </w:rPr>
            </w:pPr>
            <w:r w:rsidRPr="000E2AA6">
              <w:rPr>
                <w:rFonts w:ascii="Times New Roman" w:hAnsi="Times New Roman" w:cs="Times New Roman"/>
              </w:rPr>
              <w:t>BNM</w:t>
            </w:r>
          </w:p>
        </w:tc>
      </w:tr>
      <w:tr w:rsidR="00EB2575" w:rsidRPr="000E2AA6" w14:paraId="5C85D8B0" w14:textId="77777777" w:rsidTr="00BB074A">
        <w:tc>
          <w:tcPr>
            <w:tcW w:w="3114" w:type="dxa"/>
          </w:tcPr>
          <w:p w14:paraId="595A5CB1"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1.3. Ghidul se axează mai degrabă pe ceea ce va trebui să se realizeze prin această evaluare decât pe modul în care trebuie efectuată. De exemplu, întrucât evaluarea necesităţilor generale de solvabilitate reprezintă viziunea pe întreprinderii asupra </w:t>
            </w:r>
            <w:r w:rsidRPr="000E2AA6">
              <w:rPr>
                <w:rFonts w:ascii="Times New Roman" w:hAnsi="Times New Roman" w:cs="Times New Roman"/>
                <w:sz w:val="22"/>
                <w:szCs w:val="22"/>
              </w:rPr>
              <w:lastRenderedPageBreak/>
              <w:t xml:space="preserve">profilului său de risc, precum și asupra capitalului și altor mijloace necesare pentru abordarea acestor riscuri, întreprinderea este cea care decide modul de realizare </w:t>
            </w:r>
            <w:proofErr w:type="gramStart"/>
            <w:r w:rsidRPr="000E2AA6">
              <w:rPr>
                <w:rFonts w:ascii="Times New Roman" w:hAnsi="Times New Roman" w:cs="Times New Roman"/>
                <w:sz w:val="22"/>
                <w:szCs w:val="22"/>
              </w:rPr>
              <w:t>a</w:t>
            </w:r>
            <w:proofErr w:type="gramEnd"/>
            <w:r w:rsidRPr="000E2AA6">
              <w:rPr>
                <w:rFonts w:ascii="Times New Roman" w:hAnsi="Times New Roman" w:cs="Times New Roman"/>
                <w:sz w:val="22"/>
                <w:szCs w:val="22"/>
              </w:rPr>
              <w:t xml:space="preserve"> acestei evaluări, având în vedere natura, amploarea și complexitatea riscurilor inerente activităţii sale. </w:t>
            </w:r>
          </w:p>
          <w:p w14:paraId="7AA2D295" w14:textId="77777777" w:rsidR="00EB2575" w:rsidRPr="000E2AA6" w:rsidRDefault="00EB2575" w:rsidP="00EB2575">
            <w:pPr>
              <w:jc w:val="both"/>
              <w:rPr>
                <w:rFonts w:ascii="Times New Roman" w:hAnsi="Times New Roman" w:cs="Times New Roman"/>
              </w:rPr>
            </w:pPr>
          </w:p>
        </w:tc>
        <w:tc>
          <w:tcPr>
            <w:tcW w:w="3260" w:type="dxa"/>
          </w:tcPr>
          <w:p w14:paraId="53759EA1" w14:textId="72A15A6E" w:rsidR="00EB2575" w:rsidRPr="000E2AA6" w:rsidRDefault="00E507D3" w:rsidP="00EB2575">
            <w:pPr>
              <w:jc w:val="both"/>
              <w:rPr>
                <w:rFonts w:ascii="Times New Roman" w:hAnsi="Times New Roman" w:cs="Times New Roman"/>
              </w:rPr>
            </w:pPr>
            <w:r w:rsidRPr="000E2AA6">
              <w:rPr>
                <w:rFonts w:ascii="Times New Roman" w:hAnsi="Times New Roman" w:cs="Times New Roman"/>
              </w:rPr>
              <w:lastRenderedPageBreak/>
              <w:t>3.</w:t>
            </w:r>
            <w:r w:rsidRPr="000E2AA6">
              <w:rPr>
                <w:rFonts w:ascii="Times New Roman" w:hAnsi="Times New Roman" w:cs="Times New Roman"/>
              </w:rPr>
              <w:tab/>
              <w:t xml:space="preserve">Societatea de asigurare sau de reasigurare (în continuare - societate) este obligată să realizeze, în conformitate cu strategia sa de afaceri, o evaluare internă, periodică a riscurilor proprii și a solvabilității, având în vedere profilul propriu de risc. </w:t>
            </w:r>
            <w:r w:rsidRPr="000E2AA6">
              <w:rPr>
                <w:rFonts w:ascii="Times New Roman" w:hAnsi="Times New Roman" w:cs="Times New Roman"/>
              </w:rPr>
              <w:lastRenderedPageBreak/>
              <w:t>Societatea va elabora pentru evaluarea internă a riscurilor proprii și a solvabilității proceduri proprii, adaptate la structura organizatorică și la sistemul său de management al riscurilor, ținând cont de natura, amploarea și complexitatea riscurilor inerente activității sale.</w:t>
            </w:r>
          </w:p>
        </w:tc>
        <w:tc>
          <w:tcPr>
            <w:tcW w:w="1276" w:type="dxa"/>
          </w:tcPr>
          <w:p w14:paraId="6253741B" w14:textId="77777777" w:rsidR="00EB2575" w:rsidRPr="000E2AA6" w:rsidRDefault="004D3AFF" w:rsidP="00EB2575">
            <w:pPr>
              <w:jc w:val="both"/>
              <w:rPr>
                <w:rFonts w:ascii="Times New Roman" w:hAnsi="Times New Roman" w:cs="Times New Roman"/>
              </w:rPr>
            </w:pPr>
            <w:r w:rsidRPr="000E2AA6">
              <w:rPr>
                <w:rFonts w:ascii="Times New Roman" w:hAnsi="Times New Roman" w:cs="Times New Roman"/>
              </w:rPr>
              <w:lastRenderedPageBreak/>
              <w:t>C</w:t>
            </w:r>
            <w:r w:rsidR="00EB2575" w:rsidRPr="000E2AA6">
              <w:rPr>
                <w:rFonts w:ascii="Times New Roman" w:hAnsi="Times New Roman" w:cs="Times New Roman"/>
              </w:rPr>
              <w:t>ompatibil</w:t>
            </w:r>
          </w:p>
        </w:tc>
        <w:tc>
          <w:tcPr>
            <w:tcW w:w="2410" w:type="dxa"/>
          </w:tcPr>
          <w:p w14:paraId="369A260C" w14:textId="77777777" w:rsidR="00EB2575" w:rsidRPr="000E2AA6" w:rsidRDefault="00EB2575" w:rsidP="00EB2575">
            <w:pPr>
              <w:jc w:val="both"/>
              <w:rPr>
                <w:rFonts w:ascii="Times New Roman" w:hAnsi="Times New Roman" w:cs="Times New Roman"/>
              </w:rPr>
            </w:pPr>
          </w:p>
        </w:tc>
        <w:tc>
          <w:tcPr>
            <w:tcW w:w="1984" w:type="dxa"/>
          </w:tcPr>
          <w:p w14:paraId="52B265F6" w14:textId="77777777" w:rsidR="00EB2575" w:rsidRPr="000E2AA6" w:rsidRDefault="00EB2575" w:rsidP="00EB2575">
            <w:pPr>
              <w:jc w:val="both"/>
              <w:rPr>
                <w:rFonts w:ascii="Times New Roman" w:hAnsi="Times New Roman" w:cs="Times New Roman"/>
              </w:rPr>
            </w:pPr>
          </w:p>
        </w:tc>
        <w:tc>
          <w:tcPr>
            <w:tcW w:w="1418" w:type="dxa"/>
          </w:tcPr>
          <w:p w14:paraId="20FE72C6"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511C3C34" w14:textId="77777777" w:rsidTr="00BB074A">
        <w:tc>
          <w:tcPr>
            <w:tcW w:w="3114" w:type="dxa"/>
          </w:tcPr>
          <w:p w14:paraId="15D6D213"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1.4. EIOPA recunoaște și sprijină progresele și realizările, atât la scară globală, cât și la nivel național în afara Uniunii Europene, privind stabilirea standardelor ORSA dintr-o viziune prospectivă. </w:t>
            </w:r>
          </w:p>
          <w:p w14:paraId="6D45D939" w14:textId="77777777" w:rsidR="00EB2575" w:rsidRPr="000E2AA6" w:rsidRDefault="00EB2575" w:rsidP="00EB2575">
            <w:pPr>
              <w:jc w:val="both"/>
              <w:rPr>
                <w:rFonts w:ascii="Times New Roman" w:hAnsi="Times New Roman" w:cs="Times New Roman"/>
              </w:rPr>
            </w:pPr>
          </w:p>
        </w:tc>
        <w:tc>
          <w:tcPr>
            <w:tcW w:w="3260" w:type="dxa"/>
          </w:tcPr>
          <w:p w14:paraId="2BAB53FF" w14:textId="77777777" w:rsidR="00660B88" w:rsidRPr="000E2AA6" w:rsidRDefault="00660B88" w:rsidP="00660B88">
            <w:pPr>
              <w:jc w:val="both"/>
              <w:rPr>
                <w:rFonts w:ascii="Times New Roman" w:hAnsi="Times New Roman" w:cs="Times New Roman"/>
              </w:rPr>
            </w:pPr>
            <w:r w:rsidRPr="000E2AA6">
              <w:rPr>
                <w:rFonts w:ascii="Times New Roman" w:hAnsi="Times New Roman" w:cs="Times New Roman"/>
              </w:rPr>
              <w:t>În temeiul prevederilor art. 39 alin. (2), art. 116 alin. (3) din Legea nr.92/2022 privind activitatea de asigurare sau de reasigurare (Monitorul Oficial al Republicii Moldova, 2022, nr.129-133, art.229), cu modificările ulterioare, cu modificările ulterioare, Comitetul executiv</w:t>
            </w:r>
          </w:p>
          <w:p w14:paraId="66C233E1" w14:textId="77777777" w:rsidR="00660B88" w:rsidRPr="000E2AA6" w:rsidRDefault="00660B88" w:rsidP="00660B88">
            <w:pPr>
              <w:jc w:val="both"/>
              <w:rPr>
                <w:rFonts w:ascii="Times New Roman" w:hAnsi="Times New Roman" w:cs="Times New Roman"/>
              </w:rPr>
            </w:pPr>
          </w:p>
          <w:p w14:paraId="434D1B33" w14:textId="77777777" w:rsidR="00660B88" w:rsidRPr="000E2AA6" w:rsidRDefault="00660B88" w:rsidP="00660B88">
            <w:pPr>
              <w:jc w:val="both"/>
              <w:rPr>
                <w:rFonts w:ascii="Times New Roman" w:hAnsi="Times New Roman" w:cs="Times New Roman"/>
              </w:rPr>
            </w:pPr>
            <w:r w:rsidRPr="000E2AA6">
              <w:rPr>
                <w:rFonts w:ascii="Times New Roman" w:hAnsi="Times New Roman" w:cs="Times New Roman"/>
              </w:rPr>
              <w:t>HOTĂRĂŞTE:</w:t>
            </w:r>
          </w:p>
          <w:p w14:paraId="001952EA" w14:textId="77777777" w:rsidR="00EB2575" w:rsidRPr="000E2AA6" w:rsidRDefault="00660B88" w:rsidP="00660B88">
            <w:pPr>
              <w:jc w:val="both"/>
              <w:rPr>
                <w:rFonts w:ascii="Times New Roman" w:hAnsi="Times New Roman" w:cs="Times New Roman"/>
              </w:rPr>
            </w:pPr>
            <w:r w:rsidRPr="000E2AA6">
              <w:rPr>
                <w:rFonts w:ascii="Times New Roman" w:hAnsi="Times New Roman" w:cs="Times New Roman"/>
              </w:rPr>
              <w:t>1. Se aprobă Regulamentul privind evaluarea internă a riscurilor proprii și a solvabilității de către societățile de asigurare sau de reasigurare și cerințele cu privire la efectuarea testelor pentru evaluarea capacității de menținere a stabilității financiare (se anexează).</w:t>
            </w:r>
          </w:p>
        </w:tc>
        <w:tc>
          <w:tcPr>
            <w:tcW w:w="1276" w:type="dxa"/>
          </w:tcPr>
          <w:p w14:paraId="668E9740" w14:textId="77777777" w:rsidR="00EB2575" w:rsidRPr="000E2AA6" w:rsidRDefault="006A7717"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074D4D98" w14:textId="77777777" w:rsidR="00EB2575" w:rsidRPr="000E2AA6" w:rsidRDefault="00EB2575" w:rsidP="00EB2575">
            <w:pPr>
              <w:jc w:val="both"/>
              <w:rPr>
                <w:rFonts w:ascii="Times New Roman" w:hAnsi="Times New Roman" w:cs="Times New Roman"/>
              </w:rPr>
            </w:pPr>
          </w:p>
        </w:tc>
        <w:tc>
          <w:tcPr>
            <w:tcW w:w="1984" w:type="dxa"/>
          </w:tcPr>
          <w:p w14:paraId="3BA66B14" w14:textId="77777777" w:rsidR="00EB2575" w:rsidRPr="000E2AA6" w:rsidRDefault="00EB2575" w:rsidP="00EB2575">
            <w:pPr>
              <w:jc w:val="both"/>
              <w:rPr>
                <w:rFonts w:ascii="Times New Roman" w:hAnsi="Times New Roman" w:cs="Times New Roman"/>
              </w:rPr>
            </w:pPr>
          </w:p>
        </w:tc>
        <w:tc>
          <w:tcPr>
            <w:tcW w:w="1418" w:type="dxa"/>
          </w:tcPr>
          <w:p w14:paraId="7A66B435"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6E0E3555" w14:textId="77777777" w:rsidTr="00BB074A">
        <w:tc>
          <w:tcPr>
            <w:tcW w:w="3114" w:type="dxa"/>
          </w:tcPr>
          <w:p w14:paraId="433E86E9"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1.5. Cu toate acestea, EIOPA nu se așteaptă ca autoritățile de supraveghere din statele terțe să aplice acest ghid. Totuși, ghidul este supus analizei de echivalență. Când fac referire la structuri de grup sau la nivelul grupului, ghidul se aplică numai grupurilor din cadrul Spațiului </w:t>
            </w:r>
            <w:r w:rsidRPr="000E2AA6">
              <w:rPr>
                <w:rFonts w:ascii="Times New Roman" w:hAnsi="Times New Roman" w:cs="Times New Roman"/>
                <w:sz w:val="22"/>
                <w:szCs w:val="22"/>
              </w:rPr>
              <w:lastRenderedPageBreak/>
              <w:t xml:space="preserve">Economic European (denumit în continuare „SEE”). Prezentul ghid se aplică sucursalelor stabilite în Uniunea Europeană și care aparțin întreprinderilor de asigurare sau reasigurare având sediul principal situat în țările lor și desfășurând activitățile menționate la articolul 2 alineatul (1) primul paragraf din Solvabilitate II. </w:t>
            </w:r>
          </w:p>
          <w:p w14:paraId="50CA6153" w14:textId="77777777" w:rsidR="00EB2575" w:rsidRPr="000E2AA6" w:rsidRDefault="00EB2575" w:rsidP="00EB2575">
            <w:pPr>
              <w:jc w:val="both"/>
              <w:rPr>
                <w:rFonts w:ascii="Times New Roman" w:hAnsi="Times New Roman" w:cs="Times New Roman"/>
              </w:rPr>
            </w:pPr>
          </w:p>
        </w:tc>
        <w:tc>
          <w:tcPr>
            <w:tcW w:w="3260" w:type="dxa"/>
          </w:tcPr>
          <w:p w14:paraId="7F048E55"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lastRenderedPageBreak/>
              <w:t>2.</w:t>
            </w:r>
            <w:r w:rsidRPr="000E2AA6">
              <w:rPr>
                <w:rFonts w:ascii="Times New Roman" w:hAnsi="Times New Roman" w:cs="Times New Roman"/>
              </w:rPr>
              <w:tab/>
              <w:t>Dispozițiile prezentului Regulament se aplică:</w:t>
            </w:r>
          </w:p>
          <w:p w14:paraId="6CD54345"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 xml:space="preserve">societăților care dețin licență pentru desfășurarea activității de asigurare sau de reasigurare și activează pe teritoriul Republicii Moldova, precum și sucursalelor acestora din statele terțe; </w:t>
            </w:r>
          </w:p>
          <w:p w14:paraId="4C829997"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lastRenderedPageBreak/>
              <w:t>2)</w:t>
            </w:r>
            <w:r w:rsidRPr="000E2AA6">
              <w:rPr>
                <w:rFonts w:ascii="Times New Roman" w:hAnsi="Times New Roman" w:cs="Times New Roman"/>
              </w:rPr>
              <w:tab/>
              <w:t>sucursalelor societăților de asigurare sau de reasigurare din statele terțe în ceea ce privește activitatea acestora desfășurată în Republica Moldova;</w:t>
            </w:r>
          </w:p>
          <w:p w14:paraId="494B0282"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3)</w:t>
            </w:r>
            <w:r w:rsidRPr="000E2AA6">
              <w:rPr>
                <w:rFonts w:ascii="Times New Roman" w:hAnsi="Times New Roman" w:cs="Times New Roman"/>
              </w:rPr>
              <w:tab/>
              <w:t>societăților participative, holdingurilor de asigurare sau holdingurilor financiare mixte care fac parte dintr-un grup.</w:t>
            </w:r>
          </w:p>
        </w:tc>
        <w:tc>
          <w:tcPr>
            <w:tcW w:w="1276" w:type="dxa"/>
          </w:tcPr>
          <w:p w14:paraId="5DAC0819"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lastRenderedPageBreak/>
              <w:t>Partial compatibil</w:t>
            </w:r>
          </w:p>
        </w:tc>
        <w:tc>
          <w:tcPr>
            <w:tcW w:w="2410" w:type="dxa"/>
          </w:tcPr>
          <w:p w14:paraId="2BBF7CE0" w14:textId="77777777" w:rsidR="00EB2575" w:rsidRPr="000E2AA6" w:rsidRDefault="004E3947" w:rsidP="00EB2575">
            <w:pPr>
              <w:jc w:val="both"/>
              <w:rPr>
                <w:rFonts w:ascii="Times New Roman" w:hAnsi="Times New Roman" w:cs="Times New Roman"/>
              </w:rPr>
            </w:pPr>
            <w:r w:rsidRPr="000E2AA6">
              <w:rPr>
                <w:rFonts w:ascii="Times New Roman" w:hAnsi="Times New Roman" w:cs="Times New Roman"/>
              </w:rPr>
              <w:t>Ghidul EIOPA se aplică de către statele membre UE. Prevederile actelor normative naționale se aplică, potrivit principiului aplicării legii în spațiu, numai pe teritoriul Republicii Moldova.</w:t>
            </w:r>
          </w:p>
        </w:tc>
        <w:tc>
          <w:tcPr>
            <w:tcW w:w="1984" w:type="dxa"/>
          </w:tcPr>
          <w:p w14:paraId="6C267663" w14:textId="77777777" w:rsidR="00EB2575" w:rsidRPr="000E2AA6" w:rsidRDefault="00F37C0B" w:rsidP="00EB2575">
            <w:pPr>
              <w:jc w:val="both"/>
              <w:rPr>
                <w:rFonts w:ascii="Times New Roman" w:hAnsi="Times New Roman" w:cs="Times New Roman"/>
              </w:rPr>
            </w:pPr>
            <w:r w:rsidRPr="000E2AA6">
              <w:rPr>
                <w:rFonts w:ascii="Times New Roman" w:hAnsi="Times New Roman" w:cs="Times New Roman"/>
              </w:rPr>
              <w:t>Aplicarea integral</w:t>
            </w:r>
            <w:r w:rsidR="006C6355" w:rsidRPr="000E2AA6">
              <w:rPr>
                <w:rFonts w:ascii="Times New Roman" w:hAnsi="Times New Roman" w:cs="Times New Roman"/>
              </w:rPr>
              <w:t>ă</w:t>
            </w:r>
            <w:r w:rsidRPr="000E2AA6">
              <w:rPr>
                <w:rFonts w:ascii="Times New Roman" w:hAnsi="Times New Roman" w:cs="Times New Roman"/>
              </w:rPr>
              <w:t xml:space="preserve"> odată cu aderarea RM la UE</w:t>
            </w:r>
            <w:r w:rsidR="006C6355" w:rsidRPr="000E2AA6">
              <w:rPr>
                <w:rFonts w:ascii="Times New Roman" w:hAnsi="Times New Roman" w:cs="Times New Roman"/>
              </w:rPr>
              <w:t>.</w:t>
            </w:r>
          </w:p>
        </w:tc>
        <w:tc>
          <w:tcPr>
            <w:tcW w:w="1418" w:type="dxa"/>
          </w:tcPr>
          <w:p w14:paraId="1A98AC14"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348CF896" w14:textId="77777777" w:rsidTr="00BB074A">
        <w:tc>
          <w:tcPr>
            <w:tcW w:w="3114" w:type="dxa"/>
          </w:tcPr>
          <w:p w14:paraId="3220F551"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1.6. Este esențial ca organul administrativ, de conducere sau de control (AMSB - </w:t>
            </w:r>
            <w:r w:rsidRPr="000E2AA6">
              <w:rPr>
                <w:rFonts w:ascii="Times New Roman" w:hAnsi="Times New Roman" w:cs="Times New Roman"/>
                <w:i/>
                <w:iCs/>
                <w:sz w:val="22"/>
                <w:szCs w:val="22"/>
              </w:rPr>
              <w:t>administrative, management or supervisory body</w:t>
            </w:r>
            <w:r w:rsidRPr="000E2AA6">
              <w:rPr>
                <w:rFonts w:ascii="Times New Roman" w:hAnsi="Times New Roman" w:cs="Times New Roman"/>
                <w:sz w:val="22"/>
                <w:szCs w:val="22"/>
              </w:rPr>
              <w:t xml:space="preserve">) al întreprinderii să cunoască toate riscurile semnificative cu care se confruntă întreprinderea, indiferent dacă acestea sunt reflectate în calculul SCR și dacă sunt cuantificabile sau nu. De asemenea, este esențial ca AMSB să își asume un rol activ în evaluarea prospectivă a riscurilor proprii, coordonând procesul şi verificându-i rezultatele. </w:t>
            </w:r>
          </w:p>
          <w:p w14:paraId="356FEC95"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21D3E6E6" w14:textId="77777777" w:rsidR="00EB2575" w:rsidRPr="000E2AA6" w:rsidRDefault="004E7A17" w:rsidP="00EB2575">
            <w:pPr>
              <w:jc w:val="both"/>
              <w:rPr>
                <w:rFonts w:ascii="Times New Roman" w:hAnsi="Times New Roman" w:cs="Times New Roman"/>
                <w:lang w:val="ro-RO"/>
              </w:rPr>
            </w:pPr>
            <w:r w:rsidRPr="000E2AA6">
              <w:rPr>
                <w:rFonts w:ascii="Times New Roman" w:hAnsi="Times New Roman" w:cs="Times New Roman"/>
                <w:lang w:val="ro-RO"/>
              </w:rPr>
              <w:t>14.</w:t>
            </w:r>
            <w:r w:rsidRPr="000E2AA6">
              <w:rPr>
                <w:rFonts w:ascii="Times New Roman" w:hAnsi="Times New Roman" w:cs="Times New Roman"/>
                <w:lang w:val="ro-RO"/>
              </w:rPr>
              <w:tab/>
              <w:t xml:space="preserve">Organele de conducere ale societății sunt responsabile de organizarea și realizarea, procesului de evaluare internă, precum și de încorporarea rezultatelor evaluării în deciziile aprobate. </w:t>
            </w:r>
          </w:p>
        </w:tc>
        <w:tc>
          <w:tcPr>
            <w:tcW w:w="1276" w:type="dxa"/>
          </w:tcPr>
          <w:p w14:paraId="594DC611" w14:textId="77777777" w:rsidR="00EB2575" w:rsidRPr="000E2AA6" w:rsidRDefault="006C6355"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17B46314" w14:textId="77777777" w:rsidR="00EB2575" w:rsidRPr="000E2AA6" w:rsidRDefault="00EB2575" w:rsidP="00EB2575">
            <w:pPr>
              <w:jc w:val="both"/>
              <w:rPr>
                <w:rFonts w:ascii="Times New Roman" w:hAnsi="Times New Roman" w:cs="Times New Roman"/>
              </w:rPr>
            </w:pPr>
          </w:p>
        </w:tc>
        <w:tc>
          <w:tcPr>
            <w:tcW w:w="1984" w:type="dxa"/>
          </w:tcPr>
          <w:p w14:paraId="7E49B521" w14:textId="77777777" w:rsidR="00EB2575" w:rsidRPr="000E2AA6" w:rsidRDefault="00EB2575" w:rsidP="00EB2575">
            <w:pPr>
              <w:jc w:val="both"/>
              <w:rPr>
                <w:rFonts w:ascii="Times New Roman" w:hAnsi="Times New Roman" w:cs="Times New Roman"/>
              </w:rPr>
            </w:pPr>
          </w:p>
        </w:tc>
        <w:tc>
          <w:tcPr>
            <w:tcW w:w="1418" w:type="dxa"/>
          </w:tcPr>
          <w:p w14:paraId="6CB69C09"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720F9537" w14:textId="77777777" w:rsidTr="00BB074A">
        <w:tc>
          <w:tcPr>
            <w:tcW w:w="3114" w:type="dxa"/>
          </w:tcPr>
          <w:p w14:paraId="1F295AF3"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1.7. În cazul în care un grup dorește să solicite realizarea evaluării (ORSA) conform articolului 245 alineatul (4) al treilea paragraf din Solvabilitate II, este nevoie de o mare uniformitate în procese în întregul grup. </w:t>
            </w:r>
          </w:p>
          <w:p w14:paraId="1092E88F"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6EF065FA" w14:textId="77777777" w:rsidR="00EB2575" w:rsidRPr="000E2AA6" w:rsidRDefault="00C975A8" w:rsidP="00EB2575">
            <w:pPr>
              <w:jc w:val="both"/>
              <w:rPr>
                <w:rFonts w:ascii="Times New Roman" w:hAnsi="Times New Roman" w:cs="Times New Roman"/>
              </w:rPr>
            </w:pPr>
            <w:r w:rsidRPr="000E2AA6">
              <w:rPr>
                <w:rFonts w:ascii="Times New Roman" w:hAnsi="Times New Roman" w:cs="Times New Roman"/>
              </w:rPr>
              <w:t>13. Evaluarea internă în cadrul unui grup se efectuează utilizând procese uniformizate aplicabile întregului grup, ținând cont de riscurile specifice grupului, inclusiv de cele care ar putea fi mai puțin relevante la nivel individual decât la nivel de grup.</w:t>
            </w:r>
          </w:p>
        </w:tc>
        <w:tc>
          <w:tcPr>
            <w:tcW w:w="1276" w:type="dxa"/>
          </w:tcPr>
          <w:p w14:paraId="17851239" w14:textId="77777777" w:rsidR="00EB2575" w:rsidRPr="000E2AA6" w:rsidRDefault="0018001E" w:rsidP="00EB2575">
            <w:pPr>
              <w:jc w:val="both"/>
              <w:rPr>
                <w:rFonts w:ascii="Times New Roman" w:hAnsi="Times New Roman" w:cs="Times New Roman"/>
              </w:rPr>
            </w:pPr>
            <w:r w:rsidRPr="000E2AA6">
              <w:rPr>
                <w:rFonts w:ascii="Times New Roman" w:hAnsi="Times New Roman" w:cs="Times New Roman"/>
              </w:rPr>
              <w:t>Compatibil</w:t>
            </w:r>
          </w:p>
        </w:tc>
        <w:tc>
          <w:tcPr>
            <w:tcW w:w="2410" w:type="dxa"/>
          </w:tcPr>
          <w:p w14:paraId="6718C57C" w14:textId="77777777" w:rsidR="00EB2575" w:rsidRPr="000E2AA6" w:rsidRDefault="00EB2575" w:rsidP="00EB2575">
            <w:pPr>
              <w:jc w:val="both"/>
              <w:rPr>
                <w:rFonts w:ascii="Times New Roman" w:hAnsi="Times New Roman" w:cs="Times New Roman"/>
              </w:rPr>
            </w:pPr>
          </w:p>
        </w:tc>
        <w:tc>
          <w:tcPr>
            <w:tcW w:w="1984" w:type="dxa"/>
          </w:tcPr>
          <w:p w14:paraId="3C5D0967" w14:textId="77777777" w:rsidR="00EB2575" w:rsidRPr="000E2AA6" w:rsidRDefault="00EB2575" w:rsidP="00EB2575">
            <w:pPr>
              <w:jc w:val="both"/>
              <w:rPr>
                <w:rFonts w:ascii="Times New Roman" w:hAnsi="Times New Roman" w:cs="Times New Roman"/>
              </w:rPr>
            </w:pPr>
          </w:p>
        </w:tc>
        <w:tc>
          <w:tcPr>
            <w:tcW w:w="1418" w:type="dxa"/>
          </w:tcPr>
          <w:p w14:paraId="583E88B6"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0702A008" w14:textId="77777777" w:rsidTr="00BB074A">
        <w:tc>
          <w:tcPr>
            <w:tcW w:w="3114" w:type="dxa"/>
          </w:tcPr>
          <w:p w14:paraId="5ADC5CC9"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lastRenderedPageBreak/>
              <w:t xml:space="preserve">1.8. Ghidul se aplică întreprinderilor atât la nivel individual, cât și la nivel de grup. În plus, ghidul abordează aspectele relevante specifice grupului, evidențiate în evaluarea prospectivă a riscurilor proprii, ținând seama în special de riscurile specifice grupului sau de cele care ar putea fi mai puțin relevante la nivel individual decât la nivel de grup. </w:t>
            </w:r>
          </w:p>
          <w:p w14:paraId="52E063F5"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05679F26" w14:textId="77777777" w:rsidR="00EB2575" w:rsidRPr="000E2AA6" w:rsidRDefault="00C975A8" w:rsidP="00EB2575">
            <w:pPr>
              <w:jc w:val="both"/>
              <w:rPr>
                <w:rFonts w:ascii="Times New Roman" w:hAnsi="Times New Roman" w:cs="Times New Roman"/>
              </w:rPr>
            </w:pPr>
            <w:r w:rsidRPr="000E2AA6">
              <w:rPr>
                <w:rFonts w:ascii="Times New Roman" w:hAnsi="Times New Roman" w:cs="Times New Roman"/>
              </w:rPr>
              <w:t>13. Evaluarea internă în cadrul unui grup se efectuează utilizând procese uniformizate aplicabile întregului grup, ținând cont de riscurile specifice grupului, inclusiv de cele care ar putea fi mai puțin relevante la nivel individual decât la nivel de grup.</w:t>
            </w:r>
          </w:p>
        </w:tc>
        <w:tc>
          <w:tcPr>
            <w:tcW w:w="1276" w:type="dxa"/>
          </w:tcPr>
          <w:p w14:paraId="735132EB" w14:textId="77777777" w:rsidR="00EB2575" w:rsidRPr="000E2AA6" w:rsidRDefault="009839F9" w:rsidP="00EB2575">
            <w:pPr>
              <w:jc w:val="both"/>
              <w:rPr>
                <w:rFonts w:ascii="Times New Roman" w:hAnsi="Times New Roman" w:cs="Times New Roman"/>
              </w:rPr>
            </w:pPr>
            <w:r w:rsidRPr="000E2AA6">
              <w:rPr>
                <w:rFonts w:ascii="Times New Roman" w:hAnsi="Times New Roman" w:cs="Times New Roman"/>
              </w:rPr>
              <w:t>Compatibil</w:t>
            </w:r>
          </w:p>
        </w:tc>
        <w:tc>
          <w:tcPr>
            <w:tcW w:w="2410" w:type="dxa"/>
          </w:tcPr>
          <w:p w14:paraId="0D1B5178" w14:textId="77777777" w:rsidR="00EB2575" w:rsidRPr="000E2AA6" w:rsidRDefault="00EB2575" w:rsidP="00EB2575">
            <w:pPr>
              <w:jc w:val="both"/>
              <w:rPr>
                <w:rFonts w:ascii="Times New Roman" w:hAnsi="Times New Roman" w:cs="Times New Roman"/>
              </w:rPr>
            </w:pPr>
          </w:p>
        </w:tc>
        <w:tc>
          <w:tcPr>
            <w:tcW w:w="1984" w:type="dxa"/>
          </w:tcPr>
          <w:p w14:paraId="6C1111E0" w14:textId="77777777" w:rsidR="00EB2575" w:rsidRPr="000E2AA6" w:rsidRDefault="00EB2575" w:rsidP="00EB2575">
            <w:pPr>
              <w:jc w:val="both"/>
              <w:rPr>
                <w:rFonts w:ascii="Times New Roman" w:hAnsi="Times New Roman" w:cs="Times New Roman"/>
              </w:rPr>
            </w:pPr>
          </w:p>
        </w:tc>
        <w:tc>
          <w:tcPr>
            <w:tcW w:w="1418" w:type="dxa"/>
          </w:tcPr>
          <w:p w14:paraId="65E7C1CC"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536F66FB" w14:textId="77777777" w:rsidTr="00BB074A">
        <w:tc>
          <w:tcPr>
            <w:tcW w:w="3114" w:type="dxa"/>
          </w:tcPr>
          <w:p w14:paraId="0AC1FC1F"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1.9. Orientările relevante pentru întreprinderi la nivel individual se aplică, </w:t>
            </w:r>
            <w:r w:rsidRPr="000E2AA6">
              <w:rPr>
                <w:rFonts w:ascii="Times New Roman" w:hAnsi="Times New Roman" w:cs="Times New Roman"/>
                <w:i/>
                <w:iCs/>
                <w:sz w:val="22"/>
                <w:szCs w:val="22"/>
              </w:rPr>
              <w:t>mutatis mutandis</w:t>
            </w:r>
            <w:r w:rsidRPr="000E2AA6">
              <w:rPr>
                <w:rFonts w:ascii="Times New Roman" w:hAnsi="Times New Roman" w:cs="Times New Roman"/>
                <w:sz w:val="22"/>
                <w:szCs w:val="22"/>
              </w:rPr>
              <w:t xml:space="preserve">, în evaluarea prospectivă, la nivel de grup, a riscurilor proprii. În plus, grupurile trebuie să ia în considerare ghidurile specifice care le sunt adresate. </w:t>
            </w:r>
          </w:p>
          <w:p w14:paraId="4EF1E0FE"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30513ECD" w14:textId="77777777" w:rsidR="00EB2575" w:rsidRPr="000E2AA6" w:rsidRDefault="002F3AD0" w:rsidP="00EB2575">
            <w:pPr>
              <w:jc w:val="both"/>
              <w:rPr>
                <w:rFonts w:ascii="Times New Roman" w:hAnsi="Times New Roman" w:cs="Times New Roman"/>
              </w:rPr>
            </w:pPr>
            <w:r w:rsidRPr="000E2AA6">
              <w:rPr>
                <w:rFonts w:ascii="Times New Roman" w:hAnsi="Times New Roman" w:cs="Times New Roman"/>
              </w:rPr>
              <w:t>13. Evaluarea internă în cadrul unui grup se efectuează utilizând procese uniformizate aplicabile întregului grup, ținând cont de riscurile specifice grupului, inclusiv de cele care ar putea fi mai puțin relevante la nivel individual decât la nivel de grup.</w:t>
            </w:r>
          </w:p>
        </w:tc>
        <w:tc>
          <w:tcPr>
            <w:tcW w:w="1276" w:type="dxa"/>
          </w:tcPr>
          <w:p w14:paraId="37E2FFBC" w14:textId="77777777" w:rsidR="00EB2575" w:rsidRPr="000E2AA6" w:rsidRDefault="009839F9" w:rsidP="00EB2575">
            <w:pPr>
              <w:jc w:val="both"/>
              <w:rPr>
                <w:rFonts w:ascii="Times New Roman" w:hAnsi="Times New Roman" w:cs="Times New Roman"/>
              </w:rPr>
            </w:pPr>
            <w:r w:rsidRPr="000E2AA6">
              <w:rPr>
                <w:rFonts w:ascii="Times New Roman" w:hAnsi="Times New Roman" w:cs="Times New Roman"/>
              </w:rPr>
              <w:t>Compatibil</w:t>
            </w:r>
          </w:p>
        </w:tc>
        <w:tc>
          <w:tcPr>
            <w:tcW w:w="2410" w:type="dxa"/>
          </w:tcPr>
          <w:p w14:paraId="1A79B128" w14:textId="77777777" w:rsidR="00EB2575" w:rsidRPr="000E2AA6" w:rsidRDefault="00EB2575" w:rsidP="00EB2575">
            <w:pPr>
              <w:jc w:val="both"/>
              <w:rPr>
                <w:rFonts w:ascii="Times New Roman" w:hAnsi="Times New Roman" w:cs="Times New Roman"/>
              </w:rPr>
            </w:pPr>
          </w:p>
        </w:tc>
        <w:tc>
          <w:tcPr>
            <w:tcW w:w="1984" w:type="dxa"/>
          </w:tcPr>
          <w:p w14:paraId="498E078C" w14:textId="77777777" w:rsidR="00EB2575" w:rsidRPr="000E2AA6" w:rsidRDefault="00EB2575" w:rsidP="00EB2575">
            <w:pPr>
              <w:jc w:val="both"/>
              <w:rPr>
                <w:rFonts w:ascii="Times New Roman" w:hAnsi="Times New Roman" w:cs="Times New Roman"/>
              </w:rPr>
            </w:pPr>
          </w:p>
        </w:tc>
        <w:tc>
          <w:tcPr>
            <w:tcW w:w="1418" w:type="dxa"/>
          </w:tcPr>
          <w:p w14:paraId="68C472A7"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6814B87F" w14:textId="77777777" w:rsidTr="00BB074A">
        <w:tc>
          <w:tcPr>
            <w:tcW w:w="3114" w:type="dxa"/>
          </w:tcPr>
          <w:p w14:paraId="73CE7DC0"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1.10. În sensul prezentului ghid, au fost elaborate următoarele definiții: </w:t>
            </w:r>
          </w:p>
          <w:p w14:paraId="53BB3565" w14:textId="77777777" w:rsidR="00EB2575" w:rsidRPr="000E2AA6" w:rsidRDefault="00EB2575" w:rsidP="00EB2575">
            <w:pPr>
              <w:pStyle w:val="Default"/>
              <w:spacing w:after="182"/>
              <w:jc w:val="both"/>
              <w:rPr>
                <w:rFonts w:ascii="Times New Roman" w:hAnsi="Times New Roman" w:cs="Times New Roman"/>
                <w:sz w:val="22"/>
                <w:szCs w:val="22"/>
              </w:rPr>
            </w:pPr>
            <w:r w:rsidRPr="000E2AA6">
              <w:rPr>
                <w:rFonts w:ascii="Times New Roman" w:hAnsi="Times New Roman" w:cs="Times New Roman"/>
                <w:sz w:val="22"/>
                <w:szCs w:val="22"/>
              </w:rPr>
              <w:t xml:space="preserve">- „nivel de grup” înseamnă entitatea economică având un caracter coerent (vedere de ansamblu), care cuprinde toate entitățile grupului, aşa cum se menționează în ghidul privind sistemul de guvernanță; </w:t>
            </w:r>
          </w:p>
          <w:p w14:paraId="4FFC4D44" w14:textId="77777777" w:rsidR="00EB2575" w:rsidRPr="000E2AA6" w:rsidRDefault="00EB2575" w:rsidP="00EB2575">
            <w:pPr>
              <w:pStyle w:val="Default"/>
              <w:spacing w:after="182"/>
              <w:jc w:val="both"/>
              <w:rPr>
                <w:rFonts w:ascii="Times New Roman" w:hAnsi="Times New Roman" w:cs="Times New Roman"/>
                <w:sz w:val="22"/>
                <w:szCs w:val="22"/>
              </w:rPr>
            </w:pPr>
            <w:r w:rsidRPr="000E2AA6">
              <w:rPr>
                <w:rFonts w:ascii="Times New Roman" w:hAnsi="Times New Roman" w:cs="Times New Roman"/>
                <w:sz w:val="22"/>
                <w:szCs w:val="22"/>
              </w:rPr>
              <w:t xml:space="preserve">- „grup ORSA”: înseamnă evaluarea prospectivă a riscurilor proprii realizată la nivelul grupului; </w:t>
            </w:r>
          </w:p>
          <w:p w14:paraId="1D2D00EC"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 „document ORSA unic” înseamnă un singur document (raportul de supraveghere al </w:t>
            </w:r>
            <w:r w:rsidRPr="000E2AA6">
              <w:rPr>
                <w:rFonts w:ascii="Times New Roman" w:hAnsi="Times New Roman" w:cs="Times New Roman"/>
                <w:sz w:val="22"/>
                <w:szCs w:val="22"/>
              </w:rPr>
              <w:lastRenderedPageBreak/>
              <w:t xml:space="preserve">ORSA) ce cuprinde evaluarea realizată la nivelul grupului și la nivelul unor filiale din cadrul grupului la aceeași dată și în aceeași perioadă de raportare, după obținerea acordului de supraveghere, conform articolului 246 alineatul (4) al treilea paragraf din Solvabilitate II. </w:t>
            </w:r>
          </w:p>
          <w:p w14:paraId="628921B1"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41DE79D6" w14:textId="77777777" w:rsidR="00EB2575" w:rsidRPr="000E2AA6" w:rsidRDefault="00EB2575" w:rsidP="00EB2575">
            <w:pPr>
              <w:jc w:val="both"/>
              <w:rPr>
                <w:rFonts w:ascii="Times New Roman" w:hAnsi="Times New Roman" w:cs="Times New Roman"/>
              </w:rPr>
            </w:pPr>
          </w:p>
        </w:tc>
        <w:tc>
          <w:tcPr>
            <w:tcW w:w="1276" w:type="dxa"/>
          </w:tcPr>
          <w:p w14:paraId="0EF4EE39" w14:textId="77777777" w:rsidR="00EB2575" w:rsidRPr="000E2AA6" w:rsidRDefault="00BD7EB5" w:rsidP="00BD7EB5">
            <w:pPr>
              <w:jc w:val="both"/>
              <w:rPr>
                <w:rFonts w:ascii="Times New Roman" w:hAnsi="Times New Roman" w:cs="Times New Roman"/>
              </w:rPr>
            </w:pPr>
            <w:r w:rsidRPr="000E2AA6">
              <w:rPr>
                <w:rFonts w:ascii="Times New Roman" w:hAnsi="Times New Roman" w:cs="Times New Roman"/>
              </w:rPr>
              <w:t>Incompatibil</w:t>
            </w:r>
          </w:p>
        </w:tc>
        <w:tc>
          <w:tcPr>
            <w:tcW w:w="2410" w:type="dxa"/>
          </w:tcPr>
          <w:p w14:paraId="6563AE43" w14:textId="77777777" w:rsidR="00EB2575" w:rsidRPr="000E2AA6" w:rsidRDefault="00EB2575" w:rsidP="00A97299">
            <w:pPr>
              <w:jc w:val="both"/>
              <w:rPr>
                <w:rFonts w:ascii="Times New Roman" w:hAnsi="Times New Roman" w:cs="Times New Roman"/>
              </w:rPr>
            </w:pPr>
          </w:p>
        </w:tc>
        <w:tc>
          <w:tcPr>
            <w:tcW w:w="1984" w:type="dxa"/>
          </w:tcPr>
          <w:p w14:paraId="3C212AF7" w14:textId="77777777" w:rsidR="00EB2575" w:rsidRPr="000E2AA6" w:rsidRDefault="00A97299" w:rsidP="00CA5B00">
            <w:pPr>
              <w:jc w:val="both"/>
              <w:rPr>
                <w:rFonts w:ascii="Times New Roman" w:hAnsi="Times New Roman" w:cs="Times New Roman"/>
              </w:rPr>
            </w:pPr>
            <w:r w:rsidRPr="000E2AA6">
              <w:rPr>
                <w:rFonts w:ascii="Times New Roman" w:hAnsi="Times New Roman" w:cs="Times New Roman"/>
              </w:rPr>
              <w:t xml:space="preserve">Transpunere integrală odată cu </w:t>
            </w:r>
            <w:r w:rsidR="00CA5B00" w:rsidRPr="000E2AA6">
              <w:rPr>
                <w:rFonts w:ascii="Times New Roman" w:hAnsi="Times New Roman" w:cs="Times New Roman"/>
              </w:rPr>
              <w:t>a</w:t>
            </w:r>
            <w:r w:rsidR="00BD7EB5" w:rsidRPr="000E2AA6">
              <w:rPr>
                <w:rFonts w:ascii="Times New Roman" w:hAnsi="Times New Roman" w:cs="Times New Roman"/>
              </w:rPr>
              <w:t>probarea Legii ce va transpune integral Directiva 2009/138 (martie 2026)</w:t>
            </w:r>
          </w:p>
        </w:tc>
        <w:tc>
          <w:tcPr>
            <w:tcW w:w="1418" w:type="dxa"/>
          </w:tcPr>
          <w:p w14:paraId="5F7A0B6A"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6939043C" w14:textId="77777777" w:rsidTr="00BB074A">
        <w:tc>
          <w:tcPr>
            <w:tcW w:w="3114" w:type="dxa"/>
          </w:tcPr>
          <w:p w14:paraId="7DF6DBEA"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1.11. Termenii care nu sunt definiți în prezentul Ghid au sensul definit în actele juridice menționate în introducere. </w:t>
            </w:r>
          </w:p>
          <w:p w14:paraId="025FA2E9"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29F984B6" w14:textId="77777777" w:rsidR="00EB2575" w:rsidRPr="000E2AA6" w:rsidRDefault="00EB2575" w:rsidP="00EB2575">
            <w:pPr>
              <w:jc w:val="both"/>
              <w:rPr>
                <w:rFonts w:ascii="Times New Roman" w:hAnsi="Times New Roman" w:cs="Times New Roman"/>
              </w:rPr>
            </w:pPr>
          </w:p>
        </w:tc>
        <w:tc>
          <w:tcPr>
            <w:tcW w:w="1276" w:type="dxa"/>
          </w:tcPr>
          <w:p w14:paraId="6464F935" w14:textId="77777777" w:rsidR="00EB2575" w:rsidRPr="000E2AA6" w:rsidRDefault="00EB2575" w:rsidP="002D1457">
            <w:pPr>
              <w:jc w:val="both"/>
              <w:rPr>
                <w:rFonts w:ascii="Times New Roman" w:hAnsi="Times New Roman" w:cs="Times New Roman"/>
              </w:rPr>
            </w:pPr>
            <w:r w:rsidRPr="000E2AA6">
              <w:rPr>
                <w:rFonts w:ascii="Times New Roman" w:hAnsi="Times New Roman" w:cs="Times New Roman"/>
              </w:rPr>
              <w:t>Partial compatibil</w:t>
            </w:r>
          </w:p>
        </w:tc>
        <w:tc>
          <w:tcPr>
            <w:tcW w:w="2410" w:type="dxa"/>
          </w:tcPr>
          <w:p w14:paraId="10B954DA" w14:textId="77777777" w:rsidR="00EB2575" w:rsidRPr="000E2AA6" w:rsidRDefault="00CA5B00" w:rsidP="001D4370">
            <w:pPr>
              <w:jc w:val="both"/>
              <w:rPr>
                <w:rFonts w:ascii="Times New Roman" w:hAnsi="Times New Roman" w:cs="Times New Roman"/>
              </w:rPr>
            </w:pPr>
            <w:r w:rsidRPr="000E2AA6">
              <w:rPr>
                <w:rFonts w:ascii="Times New Roman" w:hAnsi="Times New Roman" w:cs="Times New Roman"/>
              </w:rPr>
              <w:t>Legea nr. 92/2022 transpune partial Directiva 2009/138, inclusiv și noțiunile utilizate în legislația UE</w:t>
            </w:r>
          </w:p>
        </w:tc>
        <w:tc>
          <w:tcPr>
            <w:tcW w:w="1984" w:type="dxa"/>
          </w:tcPr>
          <w:p w14:paraId="30F8E692" w14:textId="2696A224" w:rsidR="00EB2575" w:rsidRPr="000E2AA6" w:rsidRDefault="00CA5B00" w:rsidP="00EB2575">
            <w:pPr>
              <w:jc w:val="both"/>
              <w:rPr>
                <w:rFonts w:ascii="Times New Roman" w:hAnsi="Times New Roman" w:cs="Times New Roman"/>
              </w:rPr>
            </w:pPr>
            <w:r w:rsidRPr="000E2AA6">
              <w:rPr>
                <w:rFonts w:ascii="Times New Roman" w:hAnsi="Times New Roman" w:cs="Times New Roman"/>
              </w:rPr>
              <w:t>Transpunere</w:t>
            </w:r>
            <w:r w:rsidR="001D4370">
              <w:rPr>
                <w:rFonts w:ascii="Times New Roman" w:hAnsi="Times New Roman" w:cs="Times New Roman"/>
              </w:rPr>
              <w:t>a</w:t>
            </w:r>
            <w:r w:rsidRPr="000E2AA6">
              <w:rPr>
                <w:rFonts w:ascii="Times New Roman" w:hAnsi="Times New Roman" w:cs="Times New Roman"/>
              </w:rPr>
              <w:t xml:space="preserve"> integrală odată cu aprobarea Legii ce va transpune integral Directiva 2009/138 (</w:t>
            </w:r>
            <w:r w:rsidR="004D0AE9">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57B22B6E"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4D992FF7" w14:textId="77777777" w:rsidTr="00BB074A">
        <w:tc>
          <w:tcPr>
            <w:tcW w:w="3114" w:type="dxa"/>
          </w:tcPr>
          <w:p w14:paraId="4B645381"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1.12. Ghidul se aplică de la 1 ianuarie 2016. </w:t>
            </w:r>
          </w:p>
          <w:p w14:paraId="62E4504E"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41E48E66" w14:textId="1373F9FD" w:rsidR="00EB2575" w:rsidRPr="000E2AA6" w:rsidRDefault="00EB2575" w:rsidP="00463957">
            <w:pPr>
              <w:jc w:val="both"/>
              <w:rPr>
                <w:rFonts w:ascii="Times New Roman" w:hAnsi="Times New Roman" w:cs="Times New Roman"/>
              </w:rPr>
            </w:pPr>
          </w:p>
        </w:tc>
        <w:tc>
          <w:tcPr>
            <w:tcW w:w="1276" w:type="dxa"/>
          </w:tcPr>
          <w:p w14:paraId="7837B24C" w14:textId="634A18FA" w:rsidR="00EB2575" w:rsidRPr="000E2AA6" w:rsidRDefault="00BB074A" w:rsidP="00EB2575">
            <w:pPr>
              <w:jc w:val="both"/>
              <w:rPr>
                <w:rFonts w:ascii="Times New Roman" w:hAnsi="Times New Roman" w:cs="Times New Roman"/>
                <w:lang w:val="ro-MD"/>
              </w:rPr>
            </w:pPr>
            <w:r>
              <w:rPr>
                <w:rFonts w:ascii="Times New Roman" w:hAnsi="Times New Roman" w:cs="Times New Roman"/>
                <w:lang w:val="ro-MD"/>
              </w:rPr>
              <w:t>Neaplicabil</w:t>
            </w:r>
          </w:p>
        </w:tc>
        <w:tc>
          <w:tcPr>
            <w:tcW w:w="2410" w:type="dxa"/>
          </w:tcPr>
          <w:p w14:paraId="0BC0063F" w14:textId="58E4204C" w:rsidR="00EB2575" w:rsidRPr="000E2AA6" w:rsidRDefault="00BB074A" w:rsidP="00EB2575">
            <w:pPr>
              <w:jc w:val="both"/>
              <w:rPr>
                <w:rFonts w:ascii="Times New Roman" w:hAnsi="Times New Roman" w:cs="Times New Roman"/>
              </w:rPr>
            </w:pPr>
            <w:r>
              <w:rPr>
                <w:rFonts w:ascii="Times New Roman" w:hAnsi="Times New Roman" w:cs="Times New Roman"/>
              </w:rPr>
              <w:t>Prevedere aplicabilă statelor member UE</w:t>
            </w:r>
          </w:p>
        </w:tc>
        <w:tc>
          <w:tcPr>
            <w:tcW w:w="1984" w:type="dxa"/>
          </w:tcPr>
          <w:p w14:paraId="60BC6372" w14:textId="77777777" w:rsidR="00EB2575" w:rsidRPr="000E2AA6" w:rsidRDefault="00EB2575" w:rsidP="00EB2575">
            <w:pPr>
              <w:jc w:val="both"/>
              <w:rPr>
                <w:rFonts w:ascii="Times New Roman" w:hAnsi="Times New Roman" w:cs="Times New Roman"/>
              </w:rPr>
            </w:pPr>
          </w:p>
        </w:tc>
        <w:tc>
          <w:tcPr>
            <w:tcW w:w="1418" w:type="dxa"/>
          </w:tcPr>
          <w:p w14:paraId="363FEDF9" w14:textId="77777777" w:rsidR="00EB2575" w:rsidRPr="000E2AA6" w:rsidRDefault="00EB2575" w:rsidP="00EB2575">
            <w:pPr>
              <w:jc w:val="both"/>
              <w:rPr>
                <w:rFonts w:ascii="Times New Roman" w:hAnsi="Times New Roman" w:cs="Times New Roman"/>
              </w:rPr>
            </w:pPr>
          </w:p>
        </w:tc>
      </w:tr>
      <w:tr w:rsidR="00EB2575" w:rsidRPr="000E2AA6" w14:paraId="4875C3F1" w14:textId="77777777" w:rsidTr="00BB074A">
        <w:tc>
          <w:tcPr>
            <w:tcW w:w="3114" w:type="dxa"/>
          </w:tcPr>
          <w:p w14:paraId="08D1EDA7"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1 – Abordarea generală </w:t>
            </w:r>
          </w:p>
          <w:p w14:paraId="7896C7C0"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1.13. Întreprinderea ar trebui să dezvolte pentru ORSA procese cu tehnici adecvate şi corecte, adaptate la structura organizatorică și la sistemul său de gestionare a riscurilor, ținând seama de natura, amploarea și complexitatea riscurilor inerente activității. </w:t>
            </w:r>
          </w:p>
          <w:p w14:paraId="4B7A17C5" w14:textId="77777777" w:rsidR="00EB2575" w:rsidRPr="000E2AA6" w:rsidRDefault="00EB2575" w:rsidP="00EB2575">
            <w:pPr>
              <w:pStyle w:val="Default"/>
              <w:rPr>
                <w:rFonts w:ascii="Times New Roman" w:hAnsi="Times New Roman" w:cs="Times New Roman"/>
                <w:sz w:val="22"/>
                <w:szCs w:val="22"/>
              </w:rPr>
            </w:pPr>
          </w:p>
        </w:tc>
        <w:tc>
          <w:tcPr>
            <w:tcW w:w="3260" w:type="dxa"/>
          </w:tcPr>
          <w:p w14:paraId="25EEC6B2" w14:textId="77777777" w:rsidR="00EB2575" w:rsidRPr="000E2AA6" w:rsidRDefault="00476E8D" w:rsidP="00EB2575">
            <w:pPr>
              <w:jc w:val="both"/>
              <w:rPr>
                <w:rFonts w:ascii="Times New Roman" w:hAnsi="Times New Roman" w:cs="Times New Roman"/>
              </w:rPr>
            </w:pPr>
            <w:r w:rsidRPr="000E2AA6">
              <w:rPr>
                <w:rFonts w:ascii="Times New Roman" w:hAnsi="Times New Roman" w:cs="Times New Roman"/>
              </w:rPr>
              <w:t>6.</w:t>
            </w:r>
            <w:r w:rsidRPr="000E2AA6">
              <w:rPr>
                <w:rFonts w:ascii="Times New Roman" w:hAnsi="Times New Roman" w:cs="Times New Roman"/>
              </w:rPr>
              <w:tab/>
              <w:t>În sensul pct. 5 sbp. 1) societatea instituie proceduri proporționale cu natura, amploarea și complexitatea riscurilor inerente activității sale, care îi dau posibilitatea să identifice și să evalueze în mod corespunzător riscurile la care se expune sau ar putea fi expusă pe termen scurt și lung. Societatea demonstrează aplicabilitatea metodelor utilizate pentru respectiva evaluare.</w:t>
            </w:r>
          </w:p>
        </w:tc>
        <w:tc>
          <w:tcPr>
            <w:tcW w:w="1276" w:type="dxa"/>
          </w:tcPr>
          <w:p w14:paraId="5449643E" w14:textId="77777777" w:rsidR="00EB2575" w:rsidRPr="000E2AA6" w:rsidRDefault="00985F19"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1E97869A" w14:textId="77777777" w:rsidR="00EB2575" w:rsidRPr="000E2AA6" w:rsidRDefault="00EB2575" w:rsidP="00EB2575">
            <w:pPr>
              <w:jc w:val="both"/>
              <w:rPr>
                <w:rFonts w:ascii="Times New Roman" w:hAnsi="Times New Roman" w:cs="Times New Roman"/>
              </w:rPr>
            </w:pPr>
          </w:p>
        </w:tc>
        <w:tc>
          <w:tcPr>
            <w:tcW w:w="1984" w:type="dxa"/>
          </w:tcPr>
          <w:p w14:paraId="361380E3" w14:textId="77777777" w:rsidR="00EB2575" w:rsidRPr="000E2AA6" w:rsidRDefault="00EB2575" w:rsidP="00EB2575">
            <w:pPr>
              <w:jc w:val="both"/>
              <w:rPr>
                <w:rFonts w:ascii="Times New Roman" w:hAnsi="Times New Roman" w:cs="Times New Roman"/>
              </w:rPr>
            </w:pPr>
          </w:p>
        </w:tc>
        <w:tc>
          <w:tcPr>
            <w:tcW w:w="1418" w:type="dxa"/>
          </w:tcPr>
          <w:p w14:paraId="25444E1F"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431D07D6" w14:textId="77777777" w:rsidTr="00BB074A">
        <w:tc>
          <w:tcPr>
            <w:tcW w:w="3114" w:type="dxa"/>
          </w:tcPr>
          <w:p w14:paraId="68EAD5BB"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2 – Rolul Organului administrativ, de conducere sau de supraveghere (OACS) </w:t>
            </w:r>
          </w:p>
          <w:p w14:paraId="14165754"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1.14. OACS ar trebui să participe în mod activ la ORSA, </w:t>
            </w:r>
            <w:r w:rsidRPr="000E2AA6">
              <w:rPr>
                <w:rFonts w:ascii="Times New Roman" w:hAnsi="Times New Roman" w:cs="Times New Roman"/>
                <w:sz w:val="22"/>
                <w:szCs w:val="22"/>
              </w:rPr>
              <w:lastRenderedPageBreak/>
              <w:t xml:space="preserve">inclusiv prin coordonarea procesului de evaluare și prin testarea rezultatelor. </w:t>
            </w:r>
          </w:p>
          <w:p w14:paraId="3820F6AD"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63A4176C" w14:textId="77777777" w:rsidR="004E1F70" w:rsidRPr="000E2AA6" w:rsidRDefault="004E1F70" w:rsidP="004D0AE9">
            <w:pPr>
              <w:tabs>
                <w:tab w:val="left" w:pos="291"/>
              </w:tabs>
              <w:jc w:val="both"/>
              <w:rPr>
                <w:rFonts w:ascii="Times New Roman" w:hAnsi="Times New Roman" w:cs="Times New Roman"/>
              </w:rPr>
            </w:pPr>
            <w:r w:rsidRPr="000E2AA6">
              <w:rPr>
                <w:rFonts w:ascii="Times New Roman" w:hAnsi="Times New Roman" w:cs="Times New Roman"/>
              </w:rPr>
              <w:lastRenderedPageBreak/>
              <w:t>15.</w:t>
            </w:r>
            <w:r w:rsidRPr="000E2AA6">
              <w:rPr>
                <w:rFonts w:ascii="Times New Roman" w:hAnsi="Times New Roman" w:cs="Times New Roman"/>
              </w:rPr>
              <w:tab/>
              <w:t xml:space="preserve">Organele de conducere, în limitele competențelor stabilite în Politica privind evaluarea internă a riscurilor proprii și a solvabilității, sunt responsabile pentru procesul de evaluare internă și participă în </w:t>
            </w:r>
            <w:r w:rsidRPr="000E2AA6">
              <w:rPr>
                <w:rFonts w:ascii="Times New Roman" w:hAnsi="Times New Roman" w:cs="Times New Roman"/>
              </w:rPr>
              <w:lastRenderedPageBreak/>
              <w:t>mod activ la acesta, inclusiv prin, dar fără a se limita la:</w:t>
            </w:r>
          </w:p>
          <w:p w14:paraId="29237C80" w14:textId="77777777" w:rsidR="004E1F70" w:rsidRPr="000E2AA6" w:rsidRDefault="004E1F70" w:rsidP="004D0AE9">
            <w:pPr>
              <w:tabs>
                <w:tab w:val="left" w:pos="237"/>
              </w:tabs>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coordonarea procesului de evaluare și testarea rezultatelor;</w:t>
            </w:r>
          </w:p>
          <w:p w14:paraId="516C146A" w14:textId="77777777" w:rsidR="004E1F70" w:rsidRPr="000E2AA6" w:rsidRDefault="004E1F70" w:rsidP="004D0AE9">
            <w:pPr>
              <w:tabs>
                <w:tab w:val="left" w:pos="237"/>
              </w:tabs>
              <w:jc w:val="both"/>
              <w:rPr>
                <w:rFonts w:ascii="Times New Roman" w:hAnsi="Times New Roman" w:cs="Times New Roman"/>
              </w:rPr>
            </w:pPr>
            <w:r w:rsidRPr="000E2AA6">
              <w:rPr>
                <w:rFonts w:ascii="Times New Roman" w:hAnsi="Times New Roman" w:cs="Times New Roman"/>
              </w:rPr>
              <w:t>2)</w:t>
            </w:r>
            <w:r w:rsidRPr="000E2AA6">
              <w:rPr>
                <w:rFonts w:ascii="Times New Roman" w:hAnsi="Times New Roman" w:cs="Times New Roman"/>
              </w:rPr>
              <w:tab/>
              <w:t xml:space="preserve"> asigurarea că evaluarea internă reflectă strategia de afacere al societății;</w:t>
            </w:r>
          </w:p>
          <w:p w14:paraId="3A57FF26" w14:textId="77777777" w:rsidR="004E1F70" w:rsidRPr="000E2AA6" w:rsidRDefault="004E1F70" w:rsidP="004D0AE9">
            <w:pPr>
              <w:tabs>
                <w:tab w:val="left" w:pos="237"/>
              </w:tabs>
              <w:jc w:val="both"/>
              <w:rPr>
                <w:rFonts w:ascii="Times New Roman" w:hAnsi="Times New Roman" w:cs="Times New Roman"/>
              </w:rPr>
            </w:pPr>
            <w:r w:rsidRPr="000E2AA6">
              <w:rPr>
                <w:rFonts w:ascii="Times New Roman" w:hAnsi="Times New Roman" w:cs="Times New Roman"/>
              </w:rPr>
              <w:t>3)</w:t>
            </w:r>
            <w:r w:rsidRPr="000E2AA6">
              <w:rPr>
                <w:rFonts w:ascii="Times New Roman" w:hAnsi="Times New Roman" w:cs="Times New Roman"/>
              </w:rPr>
              <w:tab/>
              <w:t>luarea în considerare a apetitului la risc și toleranței la risc;</w:t>
            </w:r>
          </w:p>
          <w:p w14:paraId="5CE42A12" w14:textId="77777777" w:rsidR="004E1F70" w:rsidRPr="000E2AA6" w:rsidRDefault="004E1F70" w:rsidP="004D0AE9">
            <w:pPr>
              <w:tabs>
                <w:tab w:val="left" w:pos="237"/>
              </w:tabs>
              <w:jc w:val="both"/>
              <w:rPr>
                <w:rFonts w:ascii="Times New Roman" w:hAnsi="Times New Roman" w:cs="Times New Roman"/>
              </w:rPr>
            </w:pPr>
            <w:r w:rsidRPr="000E2AA6">
              <w:rPr>
                <w:rFonts w:ascii="Times New Roman" w:hAnsi="Times New Roman" w:cs="Times New Roman"/>
              </w:rPr>
              <w:t>4)</w:t>
            </w:r>
            <w:r w:rsidRPr="000E2AA6">
              <w:rPr>
                <w:rFonts w:ascii="Times New Roman" w:hAnsi="Times New Roman" w:cs="Times New Roman"/>
              </w:rPr>
              <w:tab/>
              <w:t xml:space="preserve"> revizuirea critică a analizei de risc care stă la baza evaluării interne;</w:t>
            </w:r>
          </w:p>
          <w:p w14:paraId="382EE981" w14:textId="77777777" w:rsidR="004E1F70" w:rsidRPr="000E2AA6" w:rsidRDefault="004E1F70" w:rsidP="004D0AE9">
            <w:pPr>
              <w:tabs>
                <w:tab w:val="left" w:pos="237"/>
              </w:tabs>
              <w:jc w:val="both"/>
              <w:rPr>
                <w:rFonts w:ascii="Times New Roman" w:hAnsi="Times New Roman" w:cs="Times New Roman"/>
              </w:rPr>
            </w:pPr>
            <w:r w:rsidRPr="000E2AA6">
              <w:rPr>
                <w:rFonts w:ascii="Times New Roman" w:hAnsi="Times New Roman" w:cs="Times New Roman"/>
              </w:rPr>
              <w:t>5)</w:t>
            </w:r>
            <w:r w:rsidRPr="000E2AA6">
              <w:rPr>
                <w:rFonts w:ascii="Times New Roman" w:hAnsi="Times New Roman" w:cs="Times New Roman"/>
              </w:rPr>
              <w:tab/>
              <w:t xml:space="preserve"> modelul testelor și analiza scenariilor;</w:t>
            </w:r>
          </w:p>
          <w:p w14:paraId="7AC0C217" w14:textId="77777777" w:rsidR="00EB2575" w:rsidRPr="000E2AA6" w:rsidRDefault="004E1F70" w:rsidP="004D0AE9">
            <w:pPr>
              <w:tabs>
                <w:tab w:val="left" w:pos="237"/>
              </w:tabs>
              <w:jc w:val="both"/>
              <w:rPr>
                <w:rFonts w:ascii="Times New Roman" w:hAnsi="Times New Roman" w:cs="Times New Roman"/>
              </w:rPr>
            </w:pPr>
            <w:r w:rsidRPr="000E2AA6">
              <w:rPr>
                <w:rFonts w:ascii="Times New Roman" w:hAnsi="Times New Roman" w:cs="Times New Roman"/>
              </w:rPr>
              <w:t>6)</w:t>
            </w:r>
            <w:r w:rsidRPr="000E2AA6">
              <w:rPr>
                <w:rFonts w:ascii="Times New Roman" w:hAnsi="Times New Roman" w:cs="Times New Roman"/>
              </w:rPr>
              <w:tab/>
              <w:t>aprobarea metodelor privi</w:t>
            </w:r>
            <w:r w:rsidR="009B4801" w:rsidRPr="000E2AA6">
              <w:rPr>
                <w:rFonts w:ascii="Times New Roman" w:hAnsi="Times New Roman" w:cs="Times New Roman"/>
              </w:rPr>
              <w:t>nd efectuarea evaluării interne.</w:t>
            </w:r>
          </w:p>
        </w:tc>
        <w:tc>
          <w:tcPr>
            <w:tcW w:w="1276" w:type="dxa"/>
          </w:tcPr>
          <w:p w14:paraId="4FE2F074" w14:textId="77777777" w:rsidR="00EB2575" w:rsidRPr="000E2AA6" w:rsidRDefault="007C35A5" w:rsidP="00EB2575">
            <w:pPr>
              <w:jc w:val="both"/>
              <w:rPr>
                <w:rFonts w:ascii="Times New Roman" w:hAnsi="Times New Roman" w:cs="Times New Roman"/>
              </w:rPr>
            </w:pPr>
            <w:r w:rsidRPr="000E2AA6">
              <w:rPr>
                <w:rFonts w:ascii="Times New Roman" w:hAnsi="Times New Roman" w:cs="Times New Roman"/>
              </w:rPr>
              <w:lastRenderedPageBreak/>
              <w:t>C</w:t>
            </w:r>
            <w:r w:rsidR="00EB2575" w:rsidRPr="000E2AA6">
              <w:rPr>
                <w:rFonts w:ascii="Times New Roman" w:hAnsi="Times New Roman" w:cs="Times New Roman"/>
              </w:rPr>
              <w:t>ompatibil</w:t>
            </w:r>
          </w:p>
        </w:tc>
        <w:tc>
          <w:tcPr>
            <w:tcW w:w="2410" w:type="dxa"/>
          </w:tcPr>
          <w:p w14:paraId="502F74F8" w14:textId="77777777" w:rsidR="00EB2575" w:rsidRPr="000E2AA6" w:rsidRDefault="00EB2575" w:rsidP="00EB2575">
            <w:pPr>
              <w:jc w:val="both"/>
              <w:rPr>
                <w:rFonts w:ascii="Times New Roman" w:hAnsi="Times New Roman" w:cs="Times New Roman"/>
              </w:rPr>
            </w:pPr>
          </w:p>
        </w:tc>
        <w:tc>
          <w:tcPr>
            <w:tcW w:w="1984" w:type="dxa"/>
          </w:tcPr>
          <w:p w14:paraId="47A73E56" w14:textId="77777777" w:rsidR="00EB2575" w:rsidRPr="000E2AA6" w:rsidRDefault="00EB2575" w:rsidP="00EB2575">
            <w:pPr>
              <w:jc w:val="both"/>
              <w:rPr>
                <w:rFonts w:ascii="Times New Roman" w:hAnsi="Times New Roman" w:cs="Times New Roman"/>
              </w:rPr>
            </w:pPr>
          </w:p>
        </w:tc>
        <w:tc>
          <w:tcPr>
            <w:tcW w:w="1418" w:type="dxa"/>
          </w:tcPr>
          <w:p w14:paraId="760F46D3"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6A507D5B" w14:textId="77777777" w:rsidTr="00BB074A">
        <w:tc>
          <w:tcPr>
            <w:tcW w:w="3114" w:type="dxa"/>
          </w:tcPr>
          <w:p w14:paraId="4BC267E5"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3 – Documentația </w:t>
            </w:r>
          </w:p>
          <w:p w14:paraId="7C189D25"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1.15. întreprinderea ar trebui să dispună de cel puțin următoarele documente referitoare la ORSA: </w:t>
            </w:r>
          </w:p>
          <w:p w14:paraId="5751964B"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a) politica privind ORSA; </w:t>
            </w:r>
          </w:p>
          <w:p w14:paraId="6FFF8CD7"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b) evidenţele fiecărei ORSA; </w:t>
            </w:r>
          </w:p>
          <w:p w14:paraId="39CB0CE4" w14:textId="77777777" w:rsidR="00EB2575" w:rsidRPr="000E2AA6" w:rsidRDefault="00EB2575" w:rsidP="00EB2575">
            <w:pPr>
              <w:pStyle w:val="Default"/>
              <w:pageBreakBefore/>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c) un raport intern cu privire la fiecare ORSA; </w:t>
            </w:r>
          </w:p>
          <w:p w14:paraId="3DBA592D"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color w:val="auto"/>
                <w:sz w:val="22"/>
                <w:szCs w:val="22"/>
              </w:rPr>
              <w:t>d) un raport către supraveghetor privind ORSA.</w:t>
            </w:r>
          </w:p>
        </w:tc>
        <w:tc>
          <w:tcPr>
            <w:tcW w:w="3260" w:type="dxa"/>
          </w:tcPr>
          <w:p w14:paraId="30FBDEBA" w14:textId="77777777" w:rsidR="00C077CD" w:rsidRPr="000E2AA6" w:rsidRDefault="00C077CD" w:rsidP="004D0AE9">
            <w:pPr>
              <w:tabs>
                <w:tab w:val="left" w:pos="399"/>
              </w:tabs>
              <w:jc w:val="both"/>
              <w:rPr>
                <w:rFonts w:ascii="Times New Roman" w:hAnsi="Times New Roman" w:cs="Times New Roman"/>
              </w:rPr>
            </w:pPr>
            <w:r w:rsidRPr="000E2AA6">
              <w:rPr>
                <w:rFonts w:ascii="Times New Roman" w:hAnsi="Times New Roman" w:cs="Times New Roman"/>
              </w:rPr>
              <w:t>17.</w:t>
            </w:r>
            <w:r w:rsidRPr="000E2AA6">
              <w:rPr>
                <w:rFonts w:ascii="Times New Roman" w:hAnsi="Times New Roman" w:cs="Times New Roman"/>
              </w:rPr>
              <w:tab/>
              <w:t xml:space="preserve">Societatea dispune de cel puțin următoarele documente referitoare la evaluarea internă: </w:t>
            </w:r>
          </w:p>
          <w:p w14:paraId="499C5512" w14:textId="77777777" w:rsidR="00C077CD" w:rsidRPr="000E2AA6" w:rsidRDefault="00C077CD" w:rsidP="004D0AE9">
            <w:pPr>
              <w:tabs>
                <w:tab w:val="left" w:pos="399"/>
              </w:tabs>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Politica privind evaluarea internă a riscurilor proprii și a solvabilității (în continuare - Politica);</w:t>
            </w:r>
          </w:p>
          <w:p w14:paraId="0D7862AB" w14:textId="77777777" w:rsidR="00C077CD" w:rsidRPr="000E2AA6" w:rsidRDefault="00C077CD" w:rsidP="004D0AE9">
            <w:pPr>
              <w:tabs>
                <w:tab w:val="left" w:pos="399"/>
              </w:tabs>
              <w:jc w:val="both"/>
              <w:rPr>
                <w:rFonts w:ascii="Times New Roman" w:hAnsi="Times New Roman" w:cs="Times New Roman"/>
              </w:rPr>
            </w:pPr>
            <w:r w:rsidRPr="000E2AA6">
              <w:rPr>
                <w:rFonts w:ascii="Times New Roman" w:hAnsi="Times New Roman" w:cs="Times New Roman"/>
              </w:rPr>
              <w:t>2)</w:t>
            </w:r>
            <w:r w:rsidRPr="000E2AA6">
              <w:rPr>
                <w:rFonts w:ascii="Times New Roman" w:hAnsi="Times New Roman" w:cs="Times New Roman"/>
              </w:rPr>
              <w:tab/>
              <w:t xml:space="preserve">Evidența fiecărei evaluări interne a riscurilor proprii și a solvabilității; </w:t>
            </w:r>
          </w:p>
          <w:p w14:paraId="5E6DE667" w14:textId="77777777" w:rsidR="00C077CD" w:rsidRPr="000E2AA6" w:rsidRDefault="00C077CD" w:rsidP="004D0AE9">
            <w:pPr>
              <w:tabs>
                <w:tab w:val="left" w:pos="399"/>
              </w:tabs>
              <w:jc w:val="both"/>
              <w:rPr>
                <w:rFonts w:ascii="Times New Roman" w:hAnsi="Times New Roman" w:cs="Times New Roman"/>
              </w:rPr>
            </w:pPr>
            <w:r w:rsidRPr="000E2AA6">
              <w:rPr>
                <w:rFonts w:ascii="Times New Roman" w:hAnsi="Times New Roman" w:cs="Times New Roman"/>
              </w:rPr>
              <w:t>3)</w:t>
            </w:r>
            <w:r w:rsidRPr="000E2AA6">
              <w:rPr>
                <w:rFonts w:ascii="Times New Roman" w:hAnsi="Times New Roman" w:cs="Times New Roman"/>
              </w:rPr>
              <w:tab/>
              <w:t xml:space="preserve">Raportul intern cu privire la rezultatele evaluarii interne a riscurilor proprii și a solvabilității (in continuare – Raport intern); </w:t>
            </w:r>
          </w:p>
          <w:p w14:paraId="392CE4AB" w14:textId="77777777" w:rsidR="00EB2575" w:rsidRPr="000E2AA6" w:rsidRDefault="00C077CD" w:rsidP="004D0AE9">
            <w:pPr>
              <w:tabs>
                <w:tab w:val="left" w:pos="399"/>
              </w:tabs>
              <w:jc w:val="both"/>
              <w:rPr>
                <w:rFonts w:ascii="Times New Roman" w:hAnsi="Times New Roman" w:cs="Times New Roman"/>
              </w:rPr>
            </w:pPr>
            <w:r w:rsidRPr="000E2AA6">
              <w:rPr>
                <w:rFonts w:ascii="Times New Roman" w:hAnsi="Times New Roman" w:cs="Times New Roman"/>
              </w:rPr>
              <w:t>4)</w:t>
            </w:r>
            <w:r w:rsidRPr="000E2AA6">
              <w:rPr>
                <w:rFonts w:ascii="Times New Roman" w:hAnsi="Times New Roman" w:cs="Times New Roman"/>
              </w:rPr>
              <w:tab/>
              <w:t>Raportul de supraveghere privind evaluarea internă a riscurilor proprii și a solvabilității (în continuare – Raport de supraveghere).</w:t>
            </w:r>
          </w:p>
        </w:tc>
        <w:tc>
          <w:tcPr>
            <w:tcW w:w="1276" w:type="dxa"/>
          </w:tcPr>
          <w:p w14:paraId="0A4D5981" w14:textId="77777777" w:rsidR="00EB2575" w:rsidRPr="000E2AA6" w:rsidRDefault="00EB3EE4"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546F541F" w14:textId="77777777" w:rsidR="00EB2575" w:rsidRPr="000E2AA6" w:rsidRDefault="00EB2575" w:rsidP="00EB2575">
            <w:pPr>
              <w:jc w:val="both"/>
              <w:rPr>
                <w:rFonts w:ascii="Times New Roman" w:hAnsi="Times New Roman" w:cs="Times New Roman"/>
              </w:rPr>
            </w:pPr>
          </w:p>
        </w:tc>
        <w:tc>
          <w:tcPr>
            <w:tcW w:w="1984" w:type="dxa"/>
          </w:tcPr>
          <w:p w14:paraId="4DFB142F" w14:textId="77777777" w:rsidR="00EB2575" w:rsidRPr="000E2AA6" w:rsidRDefault="00EB2575" w:rsidP="00EB2575">
            <w:pPr>
              <w:jc w:val="both"/>
              <w:rPr>
                <w:rFonts w:ascii="Times New Roman" w:hAnsi="Times New Roman" w:cs="Times New Roman"/>
              </w:rPr>
            </w:pPr>
          </w:p>
        </w:tc>
        <w:tc>
          <w:tcPr>
            <w:tcW w:w="1418" w:type="dxa"/>
          </w:tcPr>
          <w:p w14:paraId="344230A2"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3EB6E7EA" w14:textId="77777777" w:rsidTr="00BB074A">
        <w:tc>
          <w:tcPr>
            <w:tcW w:w="3114" w:type="dxa"/>
          </w:tcPr>
          <w:p w14:paraId="2CE60957"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4 – Politica privind ORSA </w:t>
            </w:r>
          </w:p>
          <w:p w14:paraId="10011D0F"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1.16. OACS al întreprinderii ar trebui să aprobe politica privind </w:t>
            </w:r>
            <w:r w:rsidRPr="000E2AA6">
              <w:rPr>
                <w:rFonts w:ascii="Times New Roman" w:hAnsi="Times New Roman" w:cs="Times New Roman"/>
                <w:sz w:val="22"/>
                <w:szCs w:val="22"/>
              </w:rPr>
              <w:lastRenderedPageBreak/>
              <w:t xml:space="preserve">ORSA. Această politică trebuie să cuprindă cel puțin următoarele: </w:t>
            </w:r>
          </w:p>
          <w:p w14:paraId="15C482BF" w14:textId="77777777" w:rsidR="00EB2575" w:rsidRPr="000E2AA6" w:rsidRDefault="00EB2575" w:rsidP="004D0AE9">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a) o descriere a proceselor și procedurilor instituite pentru efectuarea evaluării prospective a riscurilor proprii; </w:t>
            </w:r>
          </w:p>
          <w:p w14:paraId="2ED89901" w14:textId="77777777" w:rsidR="00EB2575" w:rsidRPr="000E2AA6" w:rsidRDefault="00EB2575" w:rsidP="004D0AE9">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b) o analiză a legăturii dintre profilul de risc, limitele toleranței la risc aprobate și necesităţile generale de solvabilitate; </w:t>
            </w:r>
          </w:p>
          <w:p w14:paraId="46727702"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c) metodele și metodologiile, inclusiv informații despre: </w:t>
            </w:r>
          </w:p>
          <w:p w14:paraId="304C51AF" w14:textId="77777777" w:rsidR="00EB2575" w:rsidRPr="000E2AA6" w:rsidRDefault="00EB2575" w:rsidP="004D0AE9">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(i) modul și frecvența cu care sunt efectuate testele de stres, analizele de senzitivitate, testele de faliment sau alte analize relevante; </w:t>
            </w:r>
          </w:p>
          <w:p w14:paraId="7AE664C3" w14:textId="77777777" w:rsidR="00EB2575" w:rsidRPr="000E2AA6" w:rsidRDefault="00EB2575" w:rsidP="004D0AE9">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(ii) standardele privind calitatea datelor; </w:t>
            </w:r>
          </w:p>
          <w:p w14:paraId="73B483E6" w14:textId="77777777" w:rsidR="00EB2575" w:rsidRPr="000E2AA6" w:rsidRDefault="00EB2575" w:rsidP="004D0AE9">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(iii) frecvența evaluării propriu-zise și justificarea caracterului adecvat al acesteia, ținând seama în special de profilul de risc al întreprinderii și de volatilitatea necesităţilor sale generale de solvabilitate raportate la poziția sa de capital; </w:t>
            </w:r>
          </w:p>
          <w:p w14:paraId="6F350085"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(iv) calendarul prevăzut pentru efectuarea evaluării prospective a riscurilor proprii și situațiile care determină necesitatea unei astfel de evaluări în afara calendarului obișnuit. </w:t>
            </w:r>
          </w:p>
          <w:p w14:paraId="5F61D2CB"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46E0A5EA"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lastRenderedPageBreak/>
              <w:t>19.</w:t>
            </w:r>
            <w:r w:rsidRPr="000E2AA6">
              <w:rPr>
                <w:rFonts w:ascii="Times New Roman" w:hAnsi="Times New Roman" w:cs="Times New Roman"/>
              </w:rPr>
              <w:tab/>
              <w:t xml:space="preserve">Politica se aprobă de către consiliul societății și se revizuie, cel puțin, anual sau la necesitate. </w:t>
            </w:r>
          </w:p>
          <w:p w14:paraId="3349D8A0"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lastRenderedPageBreak/>
              <w:t>20.</w:t>
            </w:r>
            <w:r w:rsidRPr="000E2AA6">
              <w:rPr>
                <w:rFonts w:ascii="Times New Roman" w:hAnsi="Times New Roman" w:cs="Times New Roman"/>
              </w:rPr>
              <w:tab/>
              <w:t xml:space="preserve">Politica va include cel puțin următoarele: </w:t>
            </w:r>
          </w:p>
          <w:p w14:paraId="33084B11"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 xml:space="preserve">descrierea proceselor și a procedurilor instituite pentru efectuarea evaluării prospective a riscurilor proprii; </w:t>
            </w:r>
          </w:p>
          <w:p w14:paraId="603495F4"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2)</w:t>
            </w:r>
            <w:r w:rsidRPr="000E2AA6">
              <w:rPr>
                <w:rFonts w:ascii="Times New Roman" w:hAnsi="Times New Roman" w:cs="Times New Roman"/>
              </w:rPr>
              <w:tab/>
              <w:t>analiza legăturii dintre profilul de risc, limitele de toleranță la risc aprobate și necesitățile generale de solvabilitate;</w:t>
            </w:r>
          </w:p>
          <w:p w14:paraId="5C69961E"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3)</w:t>
            </w:r>
            <w:r w:rsidRPr="000E2AA6">
              <w:rPr>
                <w:rFonts w:ascii="Times New Roman" w:hAnsi="Times New Roman" w:cs="Times New Roman"/>
              </w:rPr>
              <w:tab/>
              <w:t>metodele utilizate, inclusiv informații despre:</w:t>
            </w:r>
          </w:p>
          <w:p w14:paraId="59B0ECFD"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a)</w:t>
            </w:r>
            <w:r w:rsidRPr="000E2AA6">
              <w:rPr>
                <w:rFonts w:ascii="Times New Roman" w:hAnsi="Times New Roman" w:cs="Times New Roman"/>
              </w:rPr>
              <w:tab/>
              <w:t>modul și frecvența cu care sunt efectuate testele, analizele de senzitivitate, testele în sens invers sau alte teste relevante;</w:t>
            </w:r>
          </w:p>
          <w:p w14:paraId="73809BEB" w14:textId="723A8F61"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b)</w:t>
            </w:r>
            <w:r w:rsidRPr="000E2AA6">
              <w:rPr>
                <w:rFonts w:ascii="Times New Roman" w:hAnsi="Times New Roman" w:cs="Times New Roman"/>
              </w:rPr>
              <w:tab/>
              <w:t>standardele privind calitatea datelor</w:t>
            </w:r>
            <w:r w:rsidR="00BB074A">
              <w:rPr>
                <w:rFonts w:ascii="Times New Roman" w:hAnsi="Times New Roman" w:cs="Times New Roman"/>
              </w:rPr>
              <w:t xml:space="preserve"> </w:t>
            </w:r>
            <w:r w:rsidRPr="000E2AA6">
              <w:rPr>
                <w:rFonts w:ascii="Times New Roman" w:hAnsi="Times New Roman" w:cs="Times New Roman"/>
              </w:rPr>
              <w:t>utilizate;</w:t>
            </w:r>
          </w:p>
          <w:p w14:paraId="27EA89CC"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c)</w:t>
            </w:r>
            <w:r w:rsidRPr="000E2AA6">
              <w:rPr>
                <w:rFonts w:ascii="Times New Roman" w:hAnsi="Times New Roman" w:cs="Times New Roman"/>
              </w:rPr>
              <w:tab/>
              <w:t xml:space="preserve">frecvența evaluării și justificarea caracterului adecvat al acesteia, ținând seama în special de profilul de risc al societății și de volatilitatea necesităților sale de solvabilitate raportate la cerința de capital; </w:t>
            </w:r>
          </w:p>
          <w:p w14:paraId="6BB521A9"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d)</w:t>
            </w:r>
            <w:r w:rsidRPr="000E2AA6">
              <w:rPr>
                <w:rFonts w:ascii="Times New Roman" w:hAnsi="Times New Roman" w:cs="Times New Roman"/>
              </w:rPr>
              <w:tab/>
              <w:t xml:space="preserve">calendarul prevăzut pentru efectuarea evaluării prospective a riscurilor proprii și situațiile care determină necesitatea unei astfel de evaluări în afara calendarului obișnuit; </w:t>
            </w:r>
          </w:p>
          <w:p w14:paraId="1ED94656" w14:textId="77777777" w:rsidR="002B09A2"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4)</w:t>
            </w:r>
            <w:r w:rsidRPr="000E2AA6">
              <w:rPr>
                <w:rFonts w:ascii="Times New Roman" w:hAnsi="Times New Roman" w:cs="Times New Roman"/>
              </w:rPr>
              <w:tab/>
              <w:t xml:space="preserve">Structura raportului evaluării interne, </w:t>
            </w:r>
          </w:p>
          <w:p w14:paraId="106C0120" w14:textId="61F6AA01" w:rsidR="00EB2575" w:rsidRPr="000E2AA6" w:rsidRDefault="002B09A2" w:rsidP="004D0AE9">
            <w:pPr>
              <w:tabs>
                <w:tab w:val="left" w:pos="270"/>
              </w:tabs>
              <w:jc w:val="both"/>
              <w:rPr>
                <w:rFonts w:ascii="Times New Roman" w:hAnsi="Times New Roman" w:cs="Times New Roman"/>
              </w:rPr>
            </w:pPr>
            <w:r w:rsidRPr="000E2AA6">
              <w:rPr>
                <w:rFonts w:ascii="Times New Roman" w:hAnsi="Times New Roman" w:cs="Times New Roman"/>
              </w:rPr>
              <w:t>5)</w:t>
            </w:r>
            <w:r w:rsidRPr="000E2AA6">
              <w:rPr>
                <w:rFonts w:ascii="Times New Roman" w:hAnsi="Times New Roman" w:cs="Times New Roman"/>
              </w:rPr>
              <w:tab/>
              <w:t xml:space="preserve"> Atribuțiile și competențele fiecărui organ de conducere în procesul evaluării interne, precum și a fiecărei funcții implicate în aceasta.</w:t>
            </w:r>
          </w:p>
        </w:tc>
        <w:tc>
          <w:tcPr>
            <w:tcW w:w="1276" w:type="dxa"/>
          </w:tcPr>
          <w:p w14:paraId="1A73DEBA" w14:textId="77777777" w:rsidR="00EB2575" w:rsidRPr="000E2AA6" w:rsidRDefault="009770F2" w:rsidP="00EB2575">
            <w:pPr>
              <w:jc w:val="both"/>
              <w:rPr>
                <w:rFonts w:ascii="Times New Roman" w:hAnsi="Times New Roman" w:cs="Times New Roman"/>
              </w:rPr>
            </w:pPr>
            <w:r w:rsidRPr="000E2AA6">
              <w:rPr>
                <w:rFonts w:ascii="Times New Roman" w:hAnsi="Times New Roman" w:cs="Times New Roman"/>
              </w:rPr>
              <w:lastRenderedPageBreak/>
              <w:t>C</w:t>
            </w:r>
            <w:r w:rsidR="00EB2575" w:rsidRPr="000E2AA6">
              <w:rPr>
                <w:rFonts w:ascii="Times New Roman" w:hAnsi="Times New Roman" w:cs="Times New Roman"/>
              </w:rPr>
              <w:t>ompatibil</w:t>
            </w:r>
          </w:p>
        </w:tc>
        <w:tc>
          <w:tcPr>
            <w:tcW w:w="2410" w:type="dxa"/>
          </w:tcPr>
          <w:p w14:paraId="6A343E97" w14:textId="77777777" w:rsidR="00EB2575" w:rsidRPr="000E2AA6" w:rsidRDefault="00EB2575" w:rsidP="00EB2575">
            <w:pPr>
              <w:jc w:val="both"/>
              <w:rPr>
                <w:rFonts w:ascii="Times New Roman" w:hAnsi="Times New Roman" w:cs="Times New Roman"/>
              </w:rPr>
            </w:pPr>
          </w:p>
        </w:tc>
        <w:tc>
          <w:tcPr>
            <w:tcW w:w="1984" w:type="dxa"/>
          </w:tcPr>
          <w:p w14:paraId="71520975" w14:textId="77777777" w:rsidR="00EB2575" w:rsidRPr="000E2AA6" w:rsidRDefault="00EB2575" w:rsidP="00EB2575">
            <w:pPr>
              <w:jc w:val="both"/>
              <w:rPr>
                <w:rFonts w:ascii="Times New Roman" w:hAnsi="Times New Roman" w:cs="Times New Roman"/>
              </w:rPr>
            </w:pPr>
          </w:p>
        </w:tc>
        <w:tc>
          <w:tcPr>
            <w:tcW w:w="1418" w:type="dxa"/>
          </w:tcPr>
          <w:p w14:paraId="7341CF34"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2637CDBF" w14:textId="77777777" w:rsidTr="00BB074A">
        <w:tc>
          <w:tcPr>
            <w:tcW w:w="3114" w:type="dxa"/>
          </w:tcPr>
          <w:p w14:paraId="09EBD6C0"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lastRenderedPageBreak/>
              <w:t xml:space="preserve">Orientarea 5 – Înregistrarea fiecărei evaluări ORSA </w:t>
            </w:r>
          </w:p>
          <w:p w14:paraId="379A35F4"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1.17. Întreprinderea ar trebui să demonstreze și să documenteze fiecare evaluare ORSA și rezultatele acesteia. </w:t>
            </w:r>
          </w:p>
          <w:p w14:paraId="32149FF1"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5C48B345" w14:textId="77777777" w:rsidR="00EB2575" w:rsidRPr="000E2AA6" w:rsidRDefault="00141B83" w:rsidP="00EB2575">
            <w:pPr>
              <w:jc w:val="both"/>
              <w:rPr>
                <w:rFonts w:ascii="Times New Roman" w:hAnsi="Times New Roman" w:cs="Times New Roman"/>
              </w:rPr>
            </w:pPr>
            <w:r w:rsidRPr="000E2AA6">
              <w:rPr>
                <w:rFonts w:ascii="Times New Roman" w:hAnsi="Times New Roman" w:cs="Times New Roman"/>
              </w:rPr>
              <w:t>18.</w:t>
            </w:r>
            <w:r w:rsidR="00EB2575" w:rsidRPr="000E2AA6">
              <w:rPr>
                <w:rFonts w:ascii="Times New Roman" w:hAnsi="Times New Roman" w:cs="Times New Roman"/>
              </w:rPr>
              <w:tab/>
              <w:t>Societatea trebuie să documenteze fiecare evaluare internă și rezultatele acesteia.</w:t>
            </w:r>
          </w:p>
          <w:p w14:paraId="6C124C49" w14:textId="77777777" w:rsidR="00EB2575" w:rsidRPr="000E2AA6" w:rsidRDefault="00141B83" w:rsidP="00EB2575">
            <w:pPr>
              <w:jc w:val="both"/>
              <w:rPr>
                <w:rFonts w:ascii="Times New Roman" w:hAnsi="Times New Roman" w:cs="Times New Roman"/>
              </w:rPr>
            </w:pPr>
            <w:r w:rsidRPr="000E2AA6">
              <w:rPr>
                <w:rFonts w:ascii="Times New Roman" w:hAnsi="Times New Roman" w:cs="Times New Roman"/>
              </w:rPr>
              <w:t>Documentele aferente evaluării interne vor cuprinde informațiile, rezultatele procesului de evaluare internă, cu indicarea sursei și modul în care societatea a ajuns la acele rezultate, precum și rapoartele, procesele-verbale ale  organelor de conducere, combinate cu alte documente, procesele-verbale ale comitetelor specializate, care au legătură cu rapoartele evaluării interne, precum și rezultatele testelor.</w:t>
            </w:r>
          </w:p>
        </w:tc>
        <w:tc>
          <w:tcPr>
            <w:tcW w:w="1276" w:type="dxa"/>
          </w:tcPr>
          <w:p w14:paraId="15056DC8" w14:textId="77777777" w:rsidR="00EB2575" w:rsidRPr="000E2AA6" w:rsidRDefault="007E34B1"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0C513C72" w14:textId="77777777" w:rsidR="00EB2575" w:rsidRPr="000E2AA6" w:rsidRDefault="00EB2575" w:rsidP="00EB2575">
            <w:pPr>
              <w:jc w:val="both"/>
              <w:rPr>
                <w:rFonts w:ascii="Times New Roman" w:hAnsi="Times New Roman" w:cs="Times New Roman"/>
              </w:rPr>
            </w:pPr>
          </w:p>
        </w:tc>
        <w:tc>
          <w:tcPr>
            <w:tcW w:w="1984" w:type="dxa"/>
          </w:tcPr>
          <w:p w14:paraId="23888A07" w14:textId="77777777" w:rsidR="00EB2575" w:rsidRPr="000E2AA6" w:rsidRDefault="00EB2575" w:rsidP="00EB2575">
            <w:pPr>
              <w:jc w:val="both"/>
              <w:rPr>
                <w:rFonts w:ascii="Times New Roman" w:hAnsi="Times New Roman" w:cs="Times New Roman"/>
              </w:rPr>
            </w:pPr>
          </w:p>
        </w:tc>
        <w:tc>
          <w:tcPr>
            <w:tcW w:w="1418" w:type="dxa"/>
          </w:tcPr>
          <w:p w14:paraId="4823F341"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044C0582" w14:textId="77777777" w:rsidTr="00BB074A">
        <w:tc>
          <w:tcPr>
            <w:tcW w:w="3114" w:type="dxa"/>
          </w:tcPr>
          <w:p w14:paraId="45DCD6A7"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b/>
                <w:bCs/>
                <w:sz w:val="22"/>
                <w:szCs w:val="22"/>
              </w:rPr>
              <w:t xml:space="preserve">Orientarea 6 – Raportul intern privind evaluarea ORSA </w:t>
            </w:r>
          </w:p>
          <w:p w14:paraId="44239C56"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1.18. Întreprinderea ar trebui să comunice întregului personal implicat cel puțin rezultatele și concluziile privind ORSA, imediat ce procedura și rezultatele au fost aprobate de către OACS. </w:t>
            </w:r>
          </w:p>
          <w:p w14:paraId="253156A7"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70D5FC1D" w14:textId="77777777" w:rsidR="00EB2575" w:rsidRPr="000E2AA6" w:rsidRDefault="00F17B16" w:rsidP="004D0AE9">
            <w:pPr>
              <w:tabs>
                <w:tab w:val="left" w:pos="291"/>
              </w:tabs>
              <w:jc w:val="both"/>
              <w:rPr>
                <w:rFonts w:ascii="Times New Roman" w:hAnsi="Times New Roman" w:cs="Times New Roman"/>
              </w:rPr>
            </w:pPr>
            <w:r w:rsidRPr="000E2AA6">
              <w:rPr>
                <w:rFonts w:ascii="Times New Roman" w:hAnsi="Times New Roman" w:cs="Times New Roman"/>
              </w:rPr>
              <w:t>16.</w:t>
            </w:r>
            <w:r w:rsidRPr="000E2AA6">
              <w:rPr>
                <w:rFonts w:ascii="Times New Roman" w:hAnsi="Times New Roman" w:cs="Times New Roman"/>
              </w:rPr>
              <w:tab/>
              <w:t xml:space="preserve">Societatea va </w:t>
            </w:r>
            <w:r w:rsidR="00B06F28" w:rsidRPr="000E2AA6">
              <w:rPr>
                <w:rFonts w:ascii="Times New Roman" w:hAnsi="Times New Roman" w:cs="Times New Roman"/>
              </w:rPr>
              <w:t>comunica personalului</w:t>
            </w:r>
            <w:r w:rsidRPr="000E2AA6">
              <w:rPr>
                <w:rFonts w:ascii="Times New Roman" w:hAnsi="Times New Roman" w:cs="Times New Roman"/>
              </w:rPr>
              <w:t xml:space="preserve"> implicat cel puțin rezultatele și concluziile privind evaluarea, imediat ce procedura și rezultatele au fost aprobate de către organele de conducere.</w:t>
            </w:r>
          </w:p>
        </w:tc>
        <w:tc>
          <w:tcPr>
            <w:tcW w:w="1276" w:type="dxa"/>
          </w:tcPr>
          <w:p w14:paraId="5C35CE42" w14:textId="77777777" w:rsidR="00EB2575" w:rsidRPr="000E2AA6" w:rsidRDefault="007E34B1"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17369F35" w14:textId="77777777" w:rsidR="00EB2575" w:rsidRPr="000E2AA6" w:rsidRDefault="00EB2575" w:rsidP="00EB2575">
            <w:pPr>
              <w:jc w:val="both"/>
              <w:rPr>
                <w:rFonts w:ascii="Times New Roman" w:hAnsi="Times New Roman" w:cs="Times New Roman"/>
              </w:rPr>
            </w:pPr>
          </w:p>
        </w:tc>
        <w:tc>
          <w:tcPr>
            <w:tcW w:w="1984" w:type="dxa"/>
          </w:tcPr>
          <w:p w14:paraId="258676F1" w14:textId="77777777" w:rsidR="00EB2575" w:rsidRPr="000E2AA6" w:rsidRDefault="00EB2575" w:rsidP="00EB2575">
            <w:pPr>
              <w:jc w:val="both"/>
              <w:rPr>
                <w:rFonts w:ascii="Times New Roman" w:hAnsi="Times New Roman" w:cs="Times New Roman"/>
              </w:rPr>
            </w:pPr>
          </w:p>
        </w:tc>
        <w:tc>
          <w:tcPr>
            <w:tcW w:w="1418" w:type="dxa"/>
          </w:tcPr>
          <w:p w14:paraId="328DC85A"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4BFB7B2D" w14:textId="77777777" w:rsidTr="00BB074A">
        <w:tc>
          <w:tcPr>
            <w:tcW w:w="3114" w:type="dxa"/>
          </w:tcPr>
          <w:p w14:paraId="737BF369"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b/>
                <w:bCs/>
                <w:sz w:val="22"/>
                <w:szCs w:val="22"/>
              </w:rPr>
              <w:t xml:space="preserve">Orientarea 7 – Evaluarea necesităţilor generale de solvabilitate </w:t>
            </w:r>
          </w:p>
          <w:p w14:paraId="75360345"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1.19. Întreprinderea ar trebui să furnizeze o cuantificare a nevoilor de capital și o descriere </w:t>
            </w:r>
            <w:proofErr w:type="gramStart"/>
            <w:r w:rsidRPr="000E2AA6">
              <w:rPr>
                <w:rFonts w:ascii="Times New Roman" w:hAnsi="Times New Roman" w:cs="Times New Roman"/>
                <w:sz w:val="22"/>
                <w:szCs w:val="22"/>
              </w:rPr>
              <w:t>a</w:t>
            </w:r>
            <w:proofErr w:type="gramEnd"/>
            <w:r w:rsidRPr="000E2AA6">
              <w:rPr>
                <w:rFonts w:ascii="Times New Roman" w:hAnsi="Times New Roman" w:cs="Times New Roman"/>
                <w:sz w:val="22"/>
                <w:szCs w:val="22"/>
              </w:rPr>
              <w:t xml:space="preserve"> altor mijloace necesare pentru a aborda toate riscurile esențiale, indiferent dacă acele riscuri sunt cuantificabile sau nu. </w:t>
            </w:r>
          </w:p>
          <w:p w14:paraId="34285F49"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0BDC38AF" w14:textId="77777777" w:rsidR="003C28A7" w:rsidRPr="000E2AA6" w:rsidRDefault="003C28A7" w:rsidP="004D0AE9">
            <w:pPr>
              <w:tabs>
                <w:tab w:val="left" w:pos="291"/>
              </w:tabs>
              <w:jc w:val="both"/>
              <w:rPr>
                <w:rFonts w:ascii="Times New Roman" w:hAnsi="Times New Roman" w:cs="Times New Roman"/>
              </w:rPr>
            </w:pPr>
            <w:r w:rsidRPr="000E2AA6">
              <w:rPr>
                <w:rFonts w:ascii="Times New Roman" w:hAnsi="Times New Roman" w:cs="Times New Roman"/>
              </w:rPr>
              <w:t>5.</w:t>
            </w:r>
            <w:r w:rsidRPr="000E2AA6">
              <w:rPr>
                <w:rFonts w:ascii="Times New Roman" w:hAnsi="Times New Roman" w:cs="Times New Roman"/>
              </w:rPr>
              <w:tab/>
              <w:t>Evaluarea internă cuprinde cel puțin următoarele:</w:t>
            </w:r>
          </w:p>
          <w:p w14:paraId="1A7737CA" w14:textId="77777777" w:rsidR="003C28A7" w:rsidRPr="000E2AA6" w:rsidRDefault="003C28A7" w:rsidP="004D0AE9">
            <w:pPr>
              <w:tabs>
                <w:tab w:val="left" w:pos="291"/>
              </w:tabs>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determinarea necesităților generale privind solvabilitatea luând în considerare profilul de risc specific, limitele de toleranță la risc aprobate și strategia de afaceri a societății;</w:t>
            </w:r>
          </w:p>
          <w:p w14:paraId="6AA40C48" w14:textId="77777777" w:rsidR="00EB2575" w:rsidRPr="000E2AA6" w:rsidRDefault="003C28A7" w:rsidP="004D0AE9">
            <w:pPr>
              <w:tabs>
                <w:tab w:val="left" w:pos="291"/>
              </w:tabs>
              <w:jc w:val="both"/>
              <w:rPr>
                <w:rFonts w:ascii="Times New Roman" w:hAnsi="Times New Roman" w:cs="Times New Roman"/>
              </w:rPr>
            </w:pPr>
            <w:r w:rsidRPr="000E2AA6">
              <w:rPr>
                <w:rFonts w:ascii="Times New Roman" w:hAnsi="Times New Roman" w:cs="Times New Roman"/>
              </w:rPr>
              <w:t>2)</w:t>
            </w:r>
            <w:r w:rsidRPr="000E2AA6">
              <w:rPr>
                <w:rFonts w:ascii="Times New Roman" w:hAnsi="Times New Roman" w:cs="Times New Roman"/>
              </w:rPr>
              <w:tab/>
              <w:t>asigurarea respectării în mod continuu a cerințelor aferente ratei de solvabilitate, de capital, precum și cerințelor față de rezerve tehnice.</w:t>
            </w:r>
          </w:p>
        </w:tc>
        <w:tc>
          <w:tcPr>
            <w:tcW w:w="1276" w:type="dxa"/>
          </w:tcPr>
          <w:p w14:paraId="3278266F" w14:textId="77777777" w:rsidR="00EB2575" w:rsidRPr="000E2AA6" w:rsidRDefault="007E34B1"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466748F7" w14:textId="77777777" w:rsidR="00EB2575" w:rsidRPr="000E2AA6" w:rsidRDefault="00EB2575" w:rsidP="00EB2575">
            <w:pPr>
              <w:jc w:val="both"/>
              <w:rPr>
                <w:rFonts w:ascii="Times New Roman" w:hAnsi="Times New Roman" w:cs="Times New Roman"/>
              </w:rPr>
            </w:pPr>
          </w:p>
        </w:tc>
        <w:tc>
          <w:tcPr>
            <w:tcW w:w="1984" w:type="dxa"/>
          </w:tcPr>
          <w:p w14:paraId="03670101" w14:textId="77777777" w:rsidR="00EB2575" w:rsidRPr="000E2AA6" w:rsidRDefault="00EB2575" w:rsidP="00EB2575">
            <w:pPr>
              <w:jc w:val="both"/>
              <w:rPr>
                <w:rFonts w:ascii="Times New Roman" w:hAnsi="Times New Roman" w:cs="Times New Roman"/>
              </w:rPr>
            </w:pPr>
          </w:p>
        </w:tc>
        <w:tc>
          <w:tcPr>
            <w:tcW w:w="1418" w:type="dxa"/>
          </w:tcPr>
          <w:p w14:paraId="219E2B9A"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6BA73FD2" w14:textId="77777777" w:rsidTr="00BB074A">
        <w:tc>
          <w:tcPr>
            <w:tcW w:w="3114" w:type="dxa"/>
          </w:tcPr>
          <w:p w14:paraId="09B14B16" w14:textId="77777777" w:rsidR="00EB2575" w:rsidRPr="000E2AA6" w:rsidRDefault="00EB2575" w:rsidP="00EB2575">
            <w:pPr>
              <w:pStyle w:val="Default"/>
              <w:jc w:val="both"/>
              <w:rPr>
                <w:rFonts w:ascii="Times New Roman" w:hAnsi="Times New Roman" w:cs="Times New Roman"/>
                <w:b/>
                <w:sz w:val="22"/>
                <w:szCs w:val="22"/>
              </w:rPr>
            </w:pPr>
            <w:r w:rsidRPr="000E2AA6">
              <w:rPr>
                <w:rFonts w:ascii="Times New Roman" w:hAnsi="Times New Roman" w:cs="Times New Roman"/>
                <w:b/>
                <w:sz w:val="22"/>
                <w:szCs w:val="22"/>
              </w:rPr>
              <w:t>Orientarea 7</w:t>
            </w:r>
          </w:p>
          <w:p w14:paraId="719A4762"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lastRenderedPageBreak/>
              <w:t xml:space="preserve">1.20. Întreprinderea ar trebui să supună riscurile semnificative identificate unei game suficient de largi de teste de stres sau de analize ale scenariilor, astfel încât să ofere un fundament adecvat pentru evaluarea necesităţilor generale de solvabilitate. </w:t>
            </w:r>
          </w:p>
          <w:p w14:paraId="46B163E0"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1E516A29" w14:textId="77777777" w:rsidR="002844ED" w:rsidRPr="000E2AA6" w:rsidRDefault="002844ED" w:rsidP="002844ED">
            <w:pPr>
              <w:jc w:val="both"/>
              <w:rPr>
                <w:rFonts w:ascii="Times New Roman" w:hAnsi="Times New Roman" w:cs="Times New Roman"/>
              </w:rPr>
            </w:pPr>
            <w:r w:rsidRPr="000E2AA6">
              <w:rPr>
                <w:rFonts w:ascii="Times New Roman" w:hAnsi="Times New Roman" w:cs="Times New Roman"/>
              </w:rPr>
              <w:lastRenderedPageBreak/>
              <w:t>Capitolul III</w:t>
            </w:r>
          </w:p>
          <w:p w14:paraId="34625BF2" w14:textId="1606262B" w:rsidR="002844ED" w:rsidRPr="000E2AA6" w:rsidRDefault="002844ED" w:rsidP="002844ED">
            <w:pPr>
              <w:jc w:val="both"/>
              <w:rPr>
                <w:rFonts w:ascii="Times New Roman" w:hAnsi="Times New Roman" w:cs="Times New Roman"/>
              </w:rPr>
            </w:pPr>
            <w:r w:rsidRPr="000E2AA6">
              <w:rPr>
                <w:rFonts w:ascii="Times New Roman" w:hAnsi="Times New Roman" w:cs="Times New Roman"/>
              </w:rPr>
              <w:lastRenderedPageBreak/>
              <w:t xml:space="preserve">TESTELE PENTRU EVALUAREA CAPACITĂȚII DE MENȚINERE A STABILITĂȚII FINANCIARE </w:t>
            </w:r>
          </w:p>
          <w:p w14:paraId="3C6E1D78" w14:textId="77777777" w:rsidR="002844ED" w:rsidRPr="004D0AE9" w:rsidRDefault="002844ED" w:rsidP="002844ED">
            <w:pPr>
              <w:jc w:val="both"/>
              <w:rPr>
                <w:rFonts w:ascii="Times New Roman" w:hAnsi="Times New Roman" w:cs="Times New Roman"/>
                <w:b/>
                <w:bCs/>
              </w:rPr>
            </w:pPr>
            <w:r w:rsidRPr="004D0AE9">
              <w:rPr>
                <w:rFonts w:ascii="Times New Roman" w:hAnsi="Times New Roman" w:cs="Times New Roman"/>
                <w:b/>
                <w:bCs/>
              </w:rPr>
              <w:t>Secțiunea 1</w:t>
            </w:r>
          </w:p>
          <w:p w14:paraId="676D542A" w14:textId="77777777" w:rsidR="002844ED" w:rsidRPr="004D0AE9" w:rsidRDefault="002844ED" w:rsidP="002844ED">
            <w:pPr>
              <w:jc w:val="both"/>
              <w:rPr>
                <w:rFonts w:ascii="Times New Roman" w:hAnsi="Times New Roman" w:cs="Times New Roman"/>
                <w:b/>
                <w:bCs/>
              </w:rPr>
            </w:pPr>
            <w:r w:rsidRPr="004D0AE9">
              <w:rPr>
                <w:rFonts w:ascii="Times New Roman" w:hAnsi="Times New Roman" w:cs="Times New Roman"/>
                <w:b/>
                <w:bCs/>
              </w:rPr>
              <w:t>Dispoziții generale</w:t>
            </w:r>
          </w:p>
          <w:p w14:paraId="6842CBB6" w14:textId="77777777" w:rsidR="002844ED" w:rsidRPr="000E2AA6" w:rsidRDefault="002844ED" w:rsidP="002844ED">
            <w:pPr>
              <w:jc w:val="both"/>
              <w:rPr>
                <w:rFonts w:ascii="Times New Roman" w:hAnsi="Times New Roman" w:cs="Times New Roman"/>
              </w:rPr>
            </w:pPr>
            <w:r w:rsidRPr="000E2AA6">
              <w:rPr>
                <w:rFonts w:ascii="Times New Roman" w:hAnsi="Times New Roman" w:cs="Times New Roman"/>
              </w:rPr>
              <w:t>28.</w:t>
            </w:r>
            <w:r w:rsidRPr="000E2AA6">
              <w:rPr>
                <w:rFonts w:ascii="Times New Roman" w:hAnsi="Times New Roman" w:cs="Times New Roman"/>
              </w:rPr>
              <w:tab/>
              <w:t>Societatea utilizează testele ca mijloc de evaluare a capacității de menținere a stabilității financiare în orice situație a societății. Testele trebuie folosite în combinație cu alte instrumente de administrare și control al riscurilor.</w:t>
            </w:r>
          </w:p>
          <w:p w14:paraId="658DFA01" w14:textId="77777777" w:rsidR="006054E2" w:rsidRPr="000E2AA6" w:rsidRDefault="006054E2" w:rsidP="006054E2">
            <w:pPr>
              <w:pStyle w:val="CM4"/>
              <w:tabs>
                <w:tab w:val="left" w:pos="993"/>
              </w:tabs>
              <w:jc w:val="both"/>
              <w:rPr>
                <w:noProof/>
                <w:sz w:val="22"/>
                <w:szCs w:val="22"/>
                <w:lang w:val="ro-MD"/>
              </w:rPr>
            </w:pPr>
            <w:r w:rsidRPr="000E2AA6">
              <w:rPr>
                <w:noProof/>
                <w:sz w:val="22"/>
                <w:szCs w:val="22"/>
                <w:lang w:val="ro-MD"/>
              </w:rPr>
              <w:t xml:space="preserve">32. Metodele de testare sunt alese de societate luând în considerare natura, amploarea și complexitatea activității sale și a riscurilor la care aceasta este expusă. </w:t>
            </w:r>
          </w:p>
          <w:p w14:paraId="12BCDFFE" w14:textId="77777777" w:rsidR="00EB2575" w:rsidRPr="000E2AA6" w:rsidRDefault="00EB2575" w:rsidP="002844ED">
            <w:pPr>
              <w:jc w:val="both"/>
              <w:rPr>
                <w:rFonts w:ascii="Times New Roman" w:hAnsi="Times New Roman" w:cs="Times New Roman"/>
                <w:lang w:val="ro-MD"/>
              </w:rPr>
            </w:pPr>
          </w:p>
        </w:tc>
        <w:tc>
          <w:tcPr>
            <w:tcW w:w="1276" w:type="dxa"/>
          </w:tcPr>
          <w:p w14:paraId="72E9CEC4" w14:textId="77777777" w:rsidR="00EB2575" w:rsidRPr="000E2AA6" w:rsidRDefault="007E34B1" w:rsidP="00EB2575">
            <w:pPr>
              <w:jc w:val="both"/>
              <w:rPr>
                <w:rFonts w:ascii="Times New Roman" w:hAnsi="Times New Roman" w:cs="Times New Roman"/>
              </w:rPr>
            </w:pPr>
            <w:r w:rsidRPr="000E2AA6">
              <w:rPr>
                <w:rFonts w:ascii="Times New Roman" w:hAnsi="Times New Roman" w:cs="Times New Roman"/>
              </w:rPr>
              <w:lastRenderedPageBreak/>
              <w:t>C</w:t>
            </w:r>
            <w:r w:rsidR="00EB2575" w:rsidRPr="000E2AA6">
              <w:rPr>
                <w:rFonts w:ascii="Times New Roman" w:hAnsi="Times New Roman" w:cs="Times New Roman"/>
              </w:rPr>
              <w:t>ompatibil</w:t>
            </w:r>
          </w:p>
        </w:tc>
        <w:tc>
          <w:tcPr>
            <w:tcW w:w="2410" w:type="dxa"/>
          </w:tcPr>
          <w:p w14:paraId="0EAE1796" w14:textId="77777777" w:rsidR="00EB2575" w:rsidRPr="000E2AA6" w:rsidRDefault="00EB2575" w:rsidP="00EB2575">
            <w:pPr>
              <w:jc w:val="both"/>
              <w:rPr>
                <w:rFonts w:ascii="Times New Roman" w:hAnsi="Times New Roman" w:cs="Times New Roman"/>
              </w:rPr>
            </w:pPr>
          </w:p>
        </w:tc>
        <w:tc>
          <w:tcPr>
            <w:tcW w:w="1984" w:type="dxa"/>
          </w:tcPr>
          <w:p w14:paraId="47CB9C00" w14:textId="77777777" w:rsidR="00EB2575" w:rsidRPr="000E2AA6" w:rsidRDefault="00EB2575" w:rsidP="00EB2575">
            <w:pPr>
              <w:jc w:val="both"/>
              <w:rPr>
                <w:rFonts w:ascii="Times New Roman" w:hAnsi="Times New Roman" w:cs="Times New Roman"/>
              </w:rPr>
            </w:pPr>
          </w:p>
        </w:tc>
        <w:tc>
          <w:tcPr>
            <w:tcW w:w="1418" w:type="dxa"/>
          </w:tcPr>
          <w:p w14:paraId="692C82EA"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08E60FA1" w14:textId="77777777" w:rsidTr="00BB074A">
        <w:tc>
          <w:tcPr>
            <w:tcW w:w="3114" w:type="dxa"/>
          </w:tcPr>
          <w:p w14:paraId="0A483BF3"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8 – Abordarea prospectivă a necesităţilor globale de solvabilitate </w:t>
            </w:r>
          </w:p>
          <w:p w14:paraId="1030990B"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1.21. Întreprinderea ar trebui să se asigure că evaluarea proprie a necesităţilor generale de solvabilitate este prospectivă, pe termen mediu sau lung, după caz. </w:t>
            </w:r>
          </w:p>
          <w:p w14:paraId="336C0494"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51F8637A" w14:textId="77777777" w:rsidR="00EB2575" w:rsidRPr="000E2AA6" w:rsidRDefault="006054E2" w:rsidP="007E34B1">
            <w:pPr>
              <w:jc w:val="both"/>
              <w:rPr>
                <w:rFonts w:ascii="Times New Roman" w:hAnsi="Times New Roman" w:cs="Times New Roman"/>
              </w:rPr>
            </w:pPr>
            <w:r w:rsidRPr="000E2AA6">
              <w:rPr>
                <w:rFonts w:ascii="Times New Roman" w:hAnsi="Times New Roman" w:cs="Times New Roman"/>
              </w:rPr>
              <w:t>7. Rezultatele evaluării interne și cunoștințele dobândite în acest proces sunt luate în considerare pentru sistemul de guvernanță, managementul societății, planificarea afacerii pe termen scurt și mediu, dezvoltarea produselor de asigurare.</w:t>
            </w:r>
          </w:p>
        </w:tc>
        <w:tc>
          <w:tcPr>
            <w:tcW w:w="1276" w:type="dxa"/>
          </w:tcPr>
          <w:p w14:paraId="410D24A0" w14:textId="77777777" w:rsidR="00EB2575" w:rsidRPr="000E2AA6" w:rsidRDefault="007E34B1" w:rsidP="00EB2575">
            <w:pPr>
              <w:jc w:val="both"/>
              <w:rPr>
                <w:rFonts w:ascii="Times New Roman" w:hAnsi="Times New Roman" w:cs="Times New Roman"/>
              </w:rPr>
            </w:pPr>
            <w:r w:rsidRPr="000E2AA6">
              <w:rPr>
                <w:rFonts w:ascii="Times New Roman" w:hAnsi="Times New Roman" w:cs="Times New Roman"/>
              </w:rPr>
              <w:t>Compatibil</w:t>
            </w:r>
          </w:p>
        </w:tc>
        <w:tc>
          <w:tcPr>
            <w:tcW w:w="2410" w:type="dxa"/>
          </w:tcPr>
          <w:p w14:paraId="3042D7C8" w14:textId="77777777" w:rsidR="00EB2575" w:rsidRPr="000E2AA6" w:rsidRDefault="00EB2575" w:rsidP="00EB2575">
            <w:pPr>
              <w:jc w:val="both"/>
              <w:rPr>
                <w:rFonts w:ascii="Times New Roman" w:hAnsi="Times New Roman" w:cs="Times New Roman"/>
              </w:rPr>
            </w:pPr>
          </w:p>
        </w:tc>
        <w:tc>
          <w:tcPr>
            <w:tcW w:w="1984" w:type="dxa"/>
          </w:tcPr>
          <w:p w14:paraId="0F5CDC57" w14:textId="77777777" w:rsidR="00EB2575" w:rsidRPr="000E2AA6" w:rsidRDefault="00EB2575" w:rsidP="00EB2575">
            <w:pPr>
              <w:jc w:val="both"/>
              <w:rPr>
                <w:rFonts w:ascii="Times New Roman" w:hAnsi="Times New Roman" w:cs="Times New Roman"/>
              </w:rPr>
            </w:pPr>
          </w:p>
        </w:tc>
        <w:tc>
          <w:tcPr>
            <w:tcW w:w="1418" w:type="dxa"/>
          </w:tcPr>
          <w:p w14:paraId="787DB06C"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566CCB01" w14:textId="77777777" w:rsidTr="00BB074A">
        <w:tc>
          <w:tcPr>
            <w:tcW w:w="3114" w:type="dxa"/>
          </w:tcPr>
          <w:p w14:paraId="7CF258A5"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b/>
                <w:bCs/>
                <w:sz w:val="22"/>
                <w:szCs w:val="22"/>
              </w:rPr>
              <w:t xml:space="preserve">Orientarea 9 – Evaluarea și recunoașterea necesităţilor generale de solvabilitate </w:t>
            </w:r>
          </w:p>
          <w:p w14:paraId="783FA4E1"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1.22. Întreprinderea ar trebui, în cazul în care utilizează, în scopul evaluării necesităţilor generale de solvabilitate, metode de evaluare și recunoaștere diferite față de cele prevăzute în Directiva Solvabilitate II, să </w:t>
            </w:r>
            <w:r w:rsidRPr="000E2AA6">
              <w:rPr>
                <w:rFonts w:ascii="Times New Roman" w:hAnsi="Times New Roman" w:cs="Times New Roman"/>
                <w:sz w:val="22"/>
                <w:szCs w:val="22"/>
              </w:rPr>
              <w:lastRenderedPageBreak/>
              <w:t xml:space="preserve">explice modul în care utilizarea acestor metode de evaluare și recunoaștere diferite determină o mai bună luare în considerare a profilului de risc specific, a limitelor de toleranță la risc aprobate și a strategiei de afaceri a întreprinderii, în același timp fiind respectată și cerința privind gestionarea corectă și prudentă a întreprinderii. </w:t>
            </w:r>
          </w:p>
          <w:p w14:paraId="3CA53E28"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2A4E4618" w14:textId="77777777" w:rsidR="00EB2575" w:rsidRPr="000E2AA6" w:rsidRDefault="00EB2575" w:rsidP="00EB2575">
            <w:pPr>
              <w:jc w:val="both"/>
              <w:rPr>
                <w:rFonts w:ascii="Times New Roman" w:hAnsi="Times New Roman" w:cs="Times New Roman"/>
              </w:rPr>
            </w:pPr>
          </w:p>
        </w:tc>
        <w:tc>
          <w:tcPr>
            <w:tcW w:w="1276" w:type="dxa"/>
          </w:tcPr>
          <w:p w14:paraId="17E3DE17" w14:textId="77777777" w:rsidR="00EB2575" w:rsidRPr="000E2AA6" w:rsidRDefault="00663247" w:rsidP="00BB074A">
            <w:pPr>
              <w:ind w:right="-111"/>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1BCBC3E4" w14:textId="528F3E75" w:rsidR="007E34B1" w:rsidRPr="000E2AA6" w:rsidRDefault="007E34B1" w:rsidP="007E34B1">
            <w:pPr>
              <w:jc w:val="both"/>
              <w:rPr>
                <w:rFonts w:ascii="Times New Roman" w:hAnsi="Times New Roman" w:cs="Times New Roman"/>
              </w:rPr>
            </w:pPr>
            <w:r w:rsidRPr="000E2AA6">
              <w:rPr>
                <w:rFonts w:ascii="Times New Roman" w:hAnsi="Times New Roman" w:cs="Times New Roman"/>
              </w:rPr>
              <w:t xml:space="preserve">Potrivit Directivei 2009/138/CE evaluarea solvabilității (cerința de capital de solvabilitate - SCR) se evaluează din punct de vedere al profilului de risc. Reglementările SCR se regăsesc în Pilonul I al Directivei, evaluarea </w:t>
            </w:r>
            <w:r w:rsidRPr="000E2AA6">
              <w:rPr>
                <w:rFonts w:ascii="Times New Roman" w:hAnsi="Times New Roman" w:cs="Times New Roman"/>
              </w:rPr>
              <w:lastRenderedPageBreak/>
              <w:t>internă a riscurilor proprii și a solvabilității este partea Pilonului II.</w:t>
            </w:r>
          </w:p>
          <w:p w14:paraId="7326C9C2" w14:textId="77777777" w:rsidR="007E34B1" w:rsidRPr="000E2AA6" w:rsidRDefault="007E34B1" w:rsidP="007E34B1">
            <w:pPr>
              <w:jc w:val="both"/>
              <w:rPr>
                <w:rFonts w:ascii="Times New Roman" w:hAnsi="Times New Roman" w:cs="Times New Roman"/>
              </w:rPr>
            </w:pPr>
            <w:r w:rsidRPr="000E2AA6">
              <w:rPr>
                <w:rFonts w:ascii="Times New Roman" w:hAnsi="Times New Roman" w:cs="Times New Roman"/>
              </w:rPr>
              <w:t xml:space="preserve">Legea nr. 92/2022 privind activitatea de asigurare sau de reasigurare transpune partial Directiva 2009/138/CE, Pilonul II și Pilonul III. </w:t>
            </w:r>
          </w:p>
          <w:p w14:paraId="3216FFB4" w14:textId="77777777" w:rsidR="00EB2575" w:rsidRPr="000E2AA6" w:rsidRDefault="007E34B1" w:rsidP="007E34B1">
            <w:pPr>
              <w:jc w:val="both"/>
              <w:rPr>
                <w:rFonts w:ascii="Times New Roman" w:hAnsi="Times New Roman" w:cs="Times New Roman"/>
              </w:rPr>
            </w:pPr>
            <w:r w:rsidRPr="000E2AA6">
              <w:rPr>
                <w:rFonts w:ascii="Times New Roman" w:hAnsi="Times New Roman" w:cs="Times New Roman"/>
              </w:rPr>
              <w:t>Având în vedere că cadrul primar nu prevede SCR, proiectul Regulamentului transpune partial Ghidul EIOPA, fiind exceptate prevederile referitoare la SCR.</w:t>
            </w:r>
          </w:p>
        </w:tc>
        <w:tc>
          <w:tcPr>
            <w:tcW w:w="1984" w:type="dxa"/>
          </w:tcPr>
          <w:p w14:paraId="375C6958" w14:textId="77777777" w:rsidR="00EB2575" w:rsidRPr="000E2AA6" w:rsidRDefault="006279E2" w:rsidP="00EB2575">
            <w:pPr>
              <w:jc w:val="both"/>
              <w:rPr>
                <w:rFonts w:ascii="Times New Roman" w:hAnsi="Times New Roman" w:cs="Times New Roman"/>
              </w:rPr>
            </w:pPr>
            <w:r w:rsidRPr="000E2AA6">
              <w:rPr>
                <w:rFonts w:ascii="Times New Roman" w:hAnsi="Times New Roman" w:cs="Times New Roman"/>
              </w:rPr>
              <w:lastRenderedPageBreak/>
              <w:t xml:space="preserve">Potrivit Planului Național de acțiuni pentru aderarea RM la UE 2024-2027, aprobat prin Hotărârea Guvenrului nr. 829/2023, în martie 2026 urmează a fi aprobat proiectul de </w:t>
            </w:r>
            <w:r w:rsidRPr="000E2AA6">
              <w:rPr>
                <w:rFonts w:ascii="Times New Roman" w:hAnsi="Times New Roman" w:cs="Times New Roman"/>
              </w:rPr>
              <w:lastRenderedPageBreak/>
              <w:t>Lege pentru modificarea Legii nr.92/2022 care va transpune integral Directiva 2009/13 Solvency II, în speță Pilonul I care reglementează cerința de capital de solvabilitate (SCR).</w:t>
            </w:r>
          </w:p>
        </w:tc>
        <w:tc>
          <w:tcPr>
            <w:tcW w:w="1418" w:type="dxa"/>
          </w:tcPr>
          <w:p w14:paraId="6F421D59" w14:textId="77777777" w:rsidR="00EB2575" w:rsidRPr="000E2AA6" w:rsidRDefault="005D02C1" w:rsidP="00EB2575">
            <w:pPr>
              <w:jc w:val="both"/>
              <w:rPr>
                <w:rFonts w:ascii="Times New Roman" w:hAnsi="Times New Roman" w:cs="Times New Roman"/>
              </w:rPr>
            </w:pPr>
            <w:r w:rsidRPr="000E2AA6">
              <w:rPr>
                <w:rFonts w:ascii="Times New Roman" w:hAnsi="Times New Roman" w:cs="Times New Roman"/>
              </w:rPr>
              <w:lastRenderedPageBreak/>
              <w:t>BNM</w:t>
            </w:r>
          </w:p>
        </w:tc>
      </w:tr>
      <w:tr w:rsidR="00EB2575" w:rsidRPr="000E2AA6" w14:paraId="6501BFF6" w14:textId="77777777" w:rsidTr="00BB074A">
        <w:tc>
          <w:tcPr>
            <w:tcW w:w="3114" w:type="dxa"/>
          </w:tcPr>
          <w:p w14:paraId="26B4BFF4"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Orientarea 9</w:t>
            </w:r>
          </w:p>
          <w:p w14:paraId="7F34BE44"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1.23. Întreprinderea ar trebui să estimeze, din punct de vedere cantitativ, impactul asupra evaluării necesităţilor generale de solvabilitate al diferitelor metode de evaluare și recunoaștere în acele cazuri în care acestea diferă de cele din Solvabilitate II şi sunt utilizate din 2015 pentru evaluarea necesităţilor globale de capital. </w:t>
            </w:r>
          </w:p>
          <w:p w14:paraId="2574339C" w14:textId="77777777" w:rsidR="00EB2575" w:rsidRPr="000E2AA6" w:rsidRDefault="00EB2575" w:rsidP="00EB2575">
            <w:pPr>
              <w:pStyle w:val="Default"/>
              <w:jc w:val="both"/>
              <w:rPr>
                <w:rFonts w:ascii="Times New Roman" w:hAnsi="Times New Roman" w:cs="Times New Roman"/>
                <w:sz w:val="22"/>
                <w:szCs w:val="22"/>
              </w:rPr>
            </w:pPr>
          </w:p>
        </w:tc>
        <w:tc>
          <w:tcPr>
            <w:tcW w:w="3260" w:type="dxa"/>
          </w:tcPr>
          <w:p w14:paraId="75ECB9B7" w14:textId="77777777" w:rsidR="00EB2575" w:rsidRPr="000E2AA6" w:rsidRDefault="00EB2575" w:rsidP="00EB2575">
            <w:pPr>
              <w:jc w:val="both"/>
              <w:rPr>
                <w:rFonts w:ascii="Times New Roman" w:hAnsi="Times New Roman" w:cs="Times New Roman"/>
              </w:rPr>
            </w:pPr>
          </w:p>
        </w:tc>
        <w:tc>
          <w:tcPr>
            <w:tcW w:w="1276" w:type="dxa"/>
          </w:tcPr>
          <w:p w14:paraId="159D9DB7" w14:textId="77777777" w:rsidR="00EB2575" w:rsidRPr="000E2AA6" w:rsidRDefault="005F60DC" w:rsidP="00BB074A">
            <w:pPr>
              <w:ind w:right="-111"/>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5AB82F40" w14:textId="654F4F54" w:rsidR="00E32864" w:rsidRPr="000E2AA6" w:rsidRDefault="00E32864" w:rsidP="00E32864">
            <w:pPr>
              <w:jc w:val="both"/>
              <w:rPr>
                <w:rFonts w:ascii="Times New Roman" w:hAnsi="Times New Roman" w:cs="Times New Roman"/>
              </w:rPr>
            </w:pPr>
            <w:r w:rsidRPr="000E2AA6">
              <w:rPr>
                <w:rFonts w:ascii="Times New Roman" w:hAnsi="Times New Roman" w:cs="Times New Roman"/>
              </w:rPr>
              <w:t>Potrivit Directivei 2009/138/CE evaluarea solvabilității (cerința de capital de solvabilitate - SCR) se evaluează din punct de vedere al profilului de risc. Reglementările SCR se regăsesc în Pilonul I al Directivei, evaluarea internă a riscurilor proprii și a solvabilității este partea Pilonului II.</w:t>
            </w:r>
          </w:p>
          <w:p w14:paraId="66F985CF" w14:textId="77777777" w:rsidR="00E32864" w:rsidRPr="000E2AA6" w:rsidRDefault="00E32864" w:rsidP="00E32864">
            <w:pPr>
              <w:jc w:val="both"/>
              <w:rPr>
                <w:rFonts w:ascii="Times New Roman" w:hAnsi="Times New Roman" w:cs="Times New Roman"/>
              </w:rPr>
            </w:pPr>
            <w:r w:rsidRPr="000E2AA6">
              <w:rPr>
                <w:rFonts w:ascii="Times New Roman" w:hAnsi="Times New Roman" w:cs="Times New Roman"/>
              </w:rPr>
              <w:t xml:space="preserve">Legea nr. 92/2022 privind activitatea de asigurare sau de reasigurare transpune partial Directiva 2009/138/CE, Pilonul II și Pilonul III. </w:t>
            </w:r>
          </w:p>
          <w:p w14:paraId="0D8F550E" w14:textId="77777777" w:rsidR="00EB2575" w:rsidRPr="000E2AA6" w:rsidRDefault="00E32864" w:rsidP="00E32864">
            <w:pPr>
              <w:jc w:val="both"/>
              <w:rPr>
                <w:rFonts w:ascii="Times New Roman" w:hAnsi="Times New Roman" w:cs="Times New Roman"/>
              </w:rPr>
            </w:pPr>
            <w:r w:rsidRPr="000E2AA6">
              <w:rPr>
                <w:rFonts w:ascii="Times New Roman" w:hAnsi="Times New Roman" w:cs="Times New Roman"/>
              </w:rPr>
              <w:t xml:space="preserve">Având în vedere că cadrul primar nu prevede </w:t>
            </w:r>
            <w:r w:rsidRPr="000E2AA6">
              <w:rPr>
                <w:rFonts w:ascii="Times New Roman" w:hAnsi="Times New Roman" w:cs="Times New Roman"/>
              </w:rPr>
              <w:lastRenderedPageBreak/>
              <w:t>SCR, proiectul Regulamentului transpune partial Ghidul EIOPA, fiind exceptate prevederile referitoare la SCR.</w:t>
            </w:r>
          </w:p>
        </w:tc>
        <w:tc>
          <w:tcPr>
            <w:tcW w:w="1984" w:type="dxa"/>
          </w:tcPr>
          <w:p w14:paraId="4EBEC16B" w14:textId="77777777" w:rsidR="00EB2575" w:rsidRPr="000E2AA6" w:rsidRDefault="00E32864" w:rsidP="00EB2575">
            <w:pPr>
              <w:jc w:val="both"/>
              <w:rPr>
                <w:rFonts w:ascii="Times New Roman" w:hAnsi="Times New Roman" w:cs="Times New Roman"/>
              </w:rPr>
            </w:pPr>
            <w:r w:rsidRPr="000E2AA6">
              <w:rPr>
                <w:rFonts w:ascii="Times New Roman" w:hAnsi="Times New Roman" w:cs="Times New Roman"/>
              </w:rPr>
              <w:lastRenderedPageBreak/>
              <w:t>Potrivit Planului Național de acțiuni pentru aderarea RM la UE 2024-2027, aprobat prin Hotărârea Guvenrului nr. 829/2023, în martie 2026 urmează a fi aprobat proiectul de Lege pentru modificarea Legii nr.92/2022 care va transpune integral Directiva 2009/13 Solvency II, în speță Pilonul I care reglementează cerința de capital de solvabilitate (SCR).</w:t>
            </w:r>
          </w:p>
        </w:tc>
        <w:tc>
          <w:tcPr>
            <w:tcW w:w="1418" w:type="dxa"/>
          </w:tcPr>
          <w:p w14:paraId="070EFCB7" w14:textId="77777777" w:rsidR="00EB2575" w:rsidRPr="000E2AA6" w:rsidRDefault="005D02C1" w:rsidP="005D02C1">
            <w:pPr>
              <w:rPr>
                <w:rFonts w:ascii="Times New Roman" w:hAnsi="Times New Roman" w:cs="Times New Roman"/>
              </w:rPr>
            </w:pPr>
            <w:r w:rsidRPr="000E2AA6">
              <w:rPr>
                <w:rFonts w:ascii="Times New Roman" w:hAnsi="Times New Roman" w:cs="Times New Roman"/>
              </w:rPr>
              <w:t>BNM</w:t>
            </w:r>
          </w:p>
        </w:tc>
      </w:tr>
      <w:tr w:rsidR="00EB2575" w:rsidRPr="000E2AA6" w14:paraId="20436EC5" w14:textId="77777777" w:rsidTr="00BB074A">
        <w:tc>
          <w:tcPr>
            <w:tcW w:w="3114" w:type="dxa"/>
          </w:tcPr>
          <w:p w14:paraId="0F2E2526"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b/>
                <w:bCs/>
                <w:sz w:val="22"/>
                <w:szCs w:val="22"/>
              </w:rPr>
              <w:t xml:space="preserve">Orientarea 10 – Conformitatea continuă cu cerințele legale de capital </w:t>
            </w:r>
          </w:p>
          <w:p w14:paraId="7853E20B"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1.24. Întreprinderea ar trebui să analizeze dacă respectă în mod continuu cerințele reglementare în materie de capital din Solvabilitate II și, în cadrul acestei evaluări, ar trebui să includă cel puțin: </w:t>
            </w:r>
          </w:p>
          <w:p w14:paraId="4513A586" w14:textId="77777777" w:rsidR="00EB2575" w:rsidRPr="000E2AA6" w:rsidRDefault="00EB2575" w:rsidP="00EB2575">
            <w:pPr>
              <w:pStyle w:val="Default"/>
              <w:jc w:val="both"/>
              <w:rPr>
                <w:rFonts w:ascii="Times New Roman" w:hAnsi="Times New Roman" w:cs="Times New Roman"/>
                <w:sz w:val="22"/>
                <w:szCs w:val="22"/>
              </w:rPr>
            </w:pPr>
          </w:p>
          <w:p w14:paraId="1DC1E451" w14:textId="77777777" w:rsidR="00EB2575" w:rsidRPr="000E2AA6" w:rsidRDefault="00EB2575" w:rsidP="004E3627">
            <w:pPr>
              <w:pStyle w:val="Default"/>
              <w:tabs>
                <w:tab w:val="left" w:pos="323"/>
              </w:tabs>
              <w:jc w:val="both"/>
              <w:rPr>
                <w:rFonts w:ascii="Times New Roman" w:hAnsi="Times New Roman" w:cs="Times New Roman"/>
                <w:sz w:val="22"/>
                <w:szCs w:val="22"/>
              </w:rPr>
            </w:pPr>
            <w:r w:rsidRPr="000E2AA6">
              <w:rPr>
                <w:rFonts w:ascii="Times New Roman" w:hAnsi="Times New Roman" w:cs="Times New Roman"/>
                <w:sz w:val="22"/>
                <w:szCs w:val="22"/>
              </w:rPr>
              <w:t xml:space="preserve">a) posibile schimbări semnificative ale profilului de risc în viitor; </w:t>
            </w:r>
          </w:p>
          <w:p w14:paraId="3260BAB6"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b) cantitatea și calitatea fondurilor proprii pe toată perioada de planificare a activității întreprinderii; </w:t>
            </w:r>
          </w:p>
          <w:p w14:paraId="43E7B64D"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c) </w:t>
            </w:r>
            <w:proofErr w:type="gramStart"/>
            <w:r w:rsidRPr="000E2AA6">
              <w:rPr>
                <w:rFonts w:ascii="Times New Roman" w:hAnsi="Times New Roman" w:cs="Times New Roman"/>
                <w:sz w:val="22"/>
                <w:szCs w:val="22"/>
              </w:rPr>
              <w:t>structura</w:t>
            </w:r>
            <w:proofErr w:type="gramEnd"/>
            <w:r w:rsidRPr="000E2AA6">
              <w:rPr>
                <w:rFonts w:ascii="Times New Roman" w:hAnsi="Times New Roman" w:cs="Times New Roman"/>
                <w:sz w:val="22"/>
                <w:szCs w:val="22"/>
              </w:rPr>
              <w:t xml:space="preserve"> pe ranguri a fondurilor proprii și modul în care aceasta se poate modifica în cursul perioadei de planificare a activității întreprinderii ca urmare a răscumpărării, rambursării sau a maturităţii lor.</w:t>
            </w:r>
          </w:p>
        </w:tc>
        <w:tc>
          <w:tcPr>
            <w:tcW w:w="3260" w:type="dxa"/>
          </w:tcPr>
          <w:p w14:paraId="2B498E2D" w14:textId="77777777" w:rsidR="00D016E3" w:rsidRPr="000E2AA6" w:rsidRDefault="00D016E3" w:rsidP="00BB074A">
            <w:pPr>
              <w:tabs>
                <w:tab w:val="left" w:pos="302"/>
              </w:tabs>
              <w:jc w:val="both"/>
              <w:rPr>
                <w:rFonts w:ascii="Times New Roman" w:hAnsi="Times New Roman" w:cs="Times New Roman"/>
              </w:rPr>
            </w:pPr>
            <w:r w:rsidRPr="000E2AA6">
              <w:rPr>
                <w:rFonts w:ascii="Times New Roman" w:hAnsi="Times New Roman" w:cs="Times New Roman"/>
              </w:rPr>
              <w:t>25.</w:t>
            </w:r>
            <w:r w:rsidRPr="000E2AA6">
              <w:rPr>
                <w:rFonts w:ascii="Times New Roman" w:hAnsi="Times New Roman" w:cs="Times New Roman"/>
              </w:rPr>
              <w:tab/>
              <w:t>Societatea trebuie să analizeze dacă respectă în mod continuu cerințele de capital și, în cadrul evaluării interne, trebuie să i-a în considerare cel puțin următoarele:</w:t>
            </w:r>
          </w:p>
          <w:p w14:paraId="3FE024E5" w14:textId="77777777" w:rsidR="00D016E3" w:rsidRPr="000E2AA6" w:rsidRDefault="00D016E3" w:rsidP="00BB074A">
            <w:pPr>
              <w:tabs>
                <w:tab w:val="left" w:pos="302"/>
              </w:tabs>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 xml:space="preserve">natura și calitatea fondurilor proprii pe toată perioada de planificare a activității societății;  </w:t>
            </w:r>
          </w:p>
          <w:p w14:paraId="14F44926" w14:textId="77777777" w:rsidR="00D016E3" w:rsidRPr="000E2AA6" w:rsidRDefault="00D016E3" w:rsidP="00BB074A">
            <w:pPr>
              <w:tabs>
                <w:tab w:val="left" w:pos="302"/>
              </w:tabs>
              <w:jc w:val="both"/>
              <w:rPr>
                <w:rFonts w:ascii="Times New Roman" w:hAnsi="Times New Roman" w:cs="Times New Roman"/>
              </w:rPr>
            </w:pPr>
            <w:r w:rsidRPr="000E2AA6">
              <w:rPr>
                <w:rFonts w:ascii="Times New Roman" w:hAnsi="Times New Roman" w:cs="Times New Roman"/>
              </w:rPr>
              <w:t>2)</w:t>
            </w:r>
            <w:r w:rsidRPr="000E2AA6">
              <w:rPr>
                <w:rFonts w:ascii="Times New Roman" w:hAnsi="Times New Roman" w:cs="Times New Roman"/>
              </w:rPr>
              <w:tab/>
              <w:t>structura pe ranguri a fondurilor proprii și modul în care aceasta se poate modifica în cursul perioadei de planificare a activității societății de asigurare sau de reasigurare ca urmare a răscumpărării, rambursării sau a maturității acestora, atunci când este aplicabil;</w:t>
            </w:r>
          </w:p>
          <w:p w14:paraId="7AA6F61E" w14:textId="77777777" w:rsidR="00EB2575" w:rsidRPr="000E2AA6" w:rsidRDefault="00D016E3" w:rsidP="00BB074A">
            <w:pPr>
              <w:tabs>
                <w:tab w:val="left" w:pos="302"/>
              </w:tabs>
              <w:jc w:val="both"/>
              <w:rPr>
                <w:rFonts w:ascii="Times New Roman" w:hAnsi="Times New Roman" w:cs="Times New Roman"/>
              </w:rPr>
            </w:pPr>
            <w:r w:rsidRPr="000E2AA6">
              <w:rPr>
                <w:rFonts w:ascii="Times New Roman" w:hAnsi="Times New Roman" w:cs="Times New Roman"/>
              </w:rPr>
              <w:t>3)</w:t>
            </w:r>
            <w:r w:rsidRPr="000E2AA6">
              <w:rPr>
                <w:rFonts w:ascii="Times New Roman" w:hAnsi="Times New Roman" w:cs="Times New Roman"/>
              </w:rPr>
              <w:tab/>
              <w:t>riscurile, la care societatea este sau ar putea fi expusă, ținând seama de posibilele modificări viitoare ale profilului său de risc ca urmare a strategiei sale de afaceri sau a mediului economic și financiar.</w:t>
            </w:r>
          </w:p>
        </w:tc>
        <w:tc>
          <w:tcPr>
            <w:tcW w:w="1276" w:type="dxa"/>
          </w:tcPr>
          <w:p w14:paraId="723CC964"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Partial compatibil</w:t>
            </w:r>
          </w:p>
        </w:tc>
        <w:tc>
          <w:tcPr>
            <w:tcW w:w="2410" w:type="dxa"/>
          </w:tcPr>
          <w:p w14:paraId="21070222" w14:textId="77777777" w:rsidR="00EB2575" w:rsidRPr="000E2AA6" w:rsidRDefault="00326629" w:rsidP="00EB2575">
            <w:pPr>
              <w:jc w:val="both"/>
              <w:rPr>
                <w:rFonts w:ascii="Times New Roman" w:hAnsi="Times New Roman" w:cs="Times New Roman"/>
              </w:rPr>
            </w:pPr>
            <w:r w:rsidRPr="000E2AA6">
              <w:rPr>
                <w:rFonts w:ascii="Times New Roman" w:hAnsi="Times New Roman" w:cs="Times New Roman"/>
              </w:rPr>
              <w:t>Ghidul EIOPA prevede respectarea cerințelor SCR, proiectul actului normativ se referă la respectarea cerințelor de capital stabilite prin Legea nr. 92/2022</w:t>
            </w:r>
          </w:p>
        </w:tc>
        <w:tc>
          <w:tcPr>
            <w:tcW w:w="1984" w:type="dxa"/>
          </w:tcPr>
          <w:p w14:paraId="24E98F1F" w14:textId="09223B07" w:rsidR="00EB2575" w:rsidRPr="000E2AA6" w:rsidRDefault="00326629" w:rsidP="00EB2575">
            <w:pPr>
              <w:jc w:val="both"/>
              <w:rPr>
                <w:rFonts w:ascii="Times New Roman" w:hAnsi="Times New Roman" w:cs="Times New Roman"/>
              </w:rPr>
            </w:pPr>
            <w:r w:rsidRPr="000E2AA6">
              <w:rPr>
                <w:rFonts w:ascii="Times New Roman" w:hAnsi="Times New Roman" w:cs="Times New Roman"/>
              </w:rPr>
              <w:t>Aplicarea integra</w:t>
            </w:r>
            <w:r w:rsidR="00966B6E" w:rsidRPr="000E2AA6">
              <w:rPr>
                <w:rFonts w:ascii="Times New Roman" w:hAnsi="Times New Roman" w:cs="Times New Roman"/>
              </w:rPr>
              <w:t xml:space="preserve">lă odată cu adoptarea legii noi </w:t>
            </w:r>
            <w:r w:rsidRPr="000E2AA6">
              <w:rPr>
                <w:rFonts w:ascii="Times New Roman" w:hAnsi="Times New Roman" w:cs="Times New Roman"/>
              </w:rPr>
              <w:t>ce va transpune Directiva 2009/138 (</w:t>
            </w:r>
            <w:r w:rsidR="004D0AE9">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2F2457A7"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1F883EBF" w14:textId="77777777" w:rsidTr="00BB074A">
        <w:tc>
          <w:tcPr>
            <w:tcW w:w="3114" w:type="dxa"/>
          </w:tcPr>
          <w:p w14:paraId="55FD51E2"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11 – Conformitatea continuă cu provizioanele tehnice </w:t>
            </w:r>
          </w:p>
          <w:p w14:paraId="723B2E87"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1.25. Întreprinderea ar trebui să solicite funcția actuarială a întreprinderii pentru a: </w:t>
            </w:r>
          </w:p>
          <w:p w14:paraId="6374F2AB" w14:textId="77777777" w:rsidR="00EB2575" w:rsidRPr="000E2AA6" w:rsidRDefault="00EB2575" w:rsidP="00EB2575">
            <w:pPr>
              <w:pStyle w:val="Default"/>
              <w:rPr>
                <w:rFonts w:ascii="Times New Roman" w:hAnsi="Times New Roman" w:cs="Times New Roman"/>
                <w:sz w:val="22"/>
                <w:szCs w:val="22"/>
              </w:rPr>
            </w:pPr>
          </w:p>
          <w:p w14:paraId="188E6D41"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a) furniza informații referitoare la respectarea în mod continuu </w:t>
            </w:r>
            <w:r w:rsidRPr="000E2AA6">
              <w:rPr>
                <w:rFonts w:ascii="Times New Roman" w:hAnsi="Times New Roman" w:cs="Times New Roman"/>
                <w:sz w:val="22"/>
                <w:szCs w:val="22"/>
              </w:rPr>
              <w:lastRenderedPageBreak/>
              <w:t xml:space="preserve">de către întreprindere a cerințelor privind calculul provizioanelor tehnice; </w:t>
            </w:r>
          </w:p>
          <w:p w14:paraId="2B021601"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b) identifica riscurile potențiale ce decurg din incertitudinile aferente acestui calcul.</w:t>
            </w:r>
          </w:p>
        </w:tc>
        <w:tc>
          <w:tcPr>
            <w:tcW w:w="3260" w:type="dxa"/>
          </w:tcPr>
          <w:p w14:paraId="0A12F178" w14:textId="77777777" w:rsidR="00FE2626" w:rsidRPr="000E2AA6" w:rsidRDefault="00FE2626" w:rsidP="00BB074A">
            <w:pPr>
              <w:tabs>
                <w:tab w:val="left" w:pos="302"/>
              </w:tabs>
              <w:jc w:val="both"/>
              <w:rPr>
                <w:rFonts w:ascii="Times New Roman" w:hAnsi="Times New Roman" w:cs="Times New Roman"/>
              </w:rPr>
            </w:pPr>
            <w:r w:rsidRPr="000E2AA6">
              <w:rPr>
                <w:rFonts w:ascii="Times New Roman" w:hAnsi="Times New Roman" w:cs="Times New Roman"/>
              </w:rPr>
              <w:lastRenderedPageBreak/>
              <w:t>26.</w:t>
            </w:r>
            <w:r w:rsidRPr="000E2AA6">
              <w:rPr>
                <w:rFonts w:ascii="Times New Roman" w:hAnsi="Times New Roman" w:cs="Times New Roman"/>
              </w:rPr>
              <w:tab/>
              <w:t xml:space="preserve">Societatea se va </w:t>
            </w:r>
            <w:r w:rsidR="005B1619" w:rsidRPr="000E2AA6">
              <w:rPr>
                <w:rFonts w:ascii="Times New Roman" w:hAnsi="Times New Roman" w:cs="Times New Roman"/>
              </w:rPr>
              <w:t>a</w:t>
            </w:r>
            <w:r w:rsidRPr="000E2AA6">
              <w:rPr>
                <w:rFonts w:ascii="Times New Roman" w:hAnsi="Times New Roman" w:cs="Times New Roman"/>
              </w:rPr>
              <w:t>sigura că funcția actuarială a societății cel puțin:</w:t>
            </w:r>
          </w:p>
          <w:p w14:paraId="13C6388D" w14:textId="77777777" w:rsidR="00FE2626" w:rsidRPr="000E2AA6" w:rsidRDefault="00FE2626" w:rsidP="00BB074A">
            <w:pPr>
              <w:tabs>
                <w:tab w:val="left" w:pos="302"/>
              </w:tabs>
              <w:jc w:val="both"/>
              <w:rPr>
                <w:rFonts w:ascii="Times New Roman" w:hAnsi="Times New Roman" w:cs="Times New Roman"/>
              </w:rPr>
            </w:pPr>
            <w:r w:rsidRPr="000E2AA6">
              <w:rPr>
                <w:rFonts w:ascii="Times New Roman" w:hAnsi="Times New Roman" w:cs="Times New Roman"/>
              </w:rPr>
              <w:t>1)</w:t>
            </w:r>
            <w:r w:rsidRPr="000E2AA6">
              <w:rPr>
                <w:rFonts w:ascii="Times New Roman" w:hAnsi="Times New Roman" w:cs="Times New Roman"/>
              </w:rPr>
              <w:tab/>
              <w:t xml:space="preserve">furnizează informații referitoare la respectarea în mod continuu de către societate a cerințelor privind calculul rezervelor tehnice; </w:t>
            </w:r>
          </w:p>
          <w:p w14:paraId="3674364A" w14:textId="77777777" w:rsidR="00EB2575" w:rsidRPr="000E2AA6" w:rsidRDefault="00FE2626" w:rsidP="00BB074A">
            <w:pPr>
              <w:tabs>
                <w:tab w:val="left" w:pos="302"/>
              </w:tabs>
              <w:jc w:val="both"/>
              <w:rPr>
                <w:rFonts w:ascii="Times New Roman" w:hAnsi="Times New Roman" w:cs="Times New Roman"/>
              </w:rPr>
            </w:pPr>
            <w:r w:rsidRPr="000E2AA6">
              <w:rPr>
                <w:rFonts w:ascii="Times New Roman" w:hAnsi="Times New Roman" w:cs="Times New Roman"/>
              </w:rPr>
              <w:lastRenderedPageBreak/>
              <w:t>2)</w:t>
            </w:r>
            <w:r w:rsidRPr="000E2AA6">
              <w:rPr>
                <w:rFonts w:ascii="Times New Roman" w:hAnsi="Times New Roman" w:cs="Times New Roman"/>
              </w:rPr>
              <w:tab/>
              <w:t>identifică riscurile potențiale ce decurg din incertitudinile aferente calcului în cauză.</w:t>
            </w:r>
          </w:p>
        </w:tc>
        <w:tc>
          <w:tcPr>
            <w:tcW w:w="1276" w:type="dxa"/>
          </w:tcPr>
          <w:p w14:paraId="23539026" w14:textId="77777777" w:rsidR="00EB2575" w:rsidRPr="000E2AA6" w:rsidRDefault="00EE6475" w:rsidP="00EB2575">
            <w:pPr>
              <w:jc w:val="both"/>
              <w:rPr>
                <w:rFonts w:ascii="Times New Roman" w:hAnsi="Times New Roman" w:cs="Times New Roman"/>
              </w:rPr>
            </w:pPr>
            <w:r w:rsidRPr="000E2AA6">
              <w:rPr>
                <w:rFonts w:ascii="Times New Roman" w:hAnsi="Times New Roman" w:cs="Times New Roman"/>
              </w:rPr>
              <w:lastRenderedPageBreak/>
              <w:t>C</w:t>
            </w:r>
            <w:r w:rsidR="00EB2575" w:rsidRPr="000E2AA6">
              <w:rPr>
                <w:rFonts w:ascii="Times New Roman" w:hAnsi="Times New Roman" w:cs="Times New Roman"/>
              </w:rPr>
              <w:t>ompatibil</w:t>
            </w:r>
          </w:p>
        </w:tc>
        <w:tc>
          <w:tcPr>
            <w:tcW w:w="2410" w:type="dxa"/>
          </w:tcPr>
          <w:p w14:paraId="57CDBE6C" w14:textId="77777777" w:rsidR="00EB2575" w:rsidRPr="000E2AA6" w:rsidRDefault="00EB2575" w:rsidP="00EB2575">
            <w:pPr>
              <w:jc w:val="both"/>
              <w:rPr>
                <w:rFonts w:ascii="Times New Roman" w:hAnsi="Times New Roman" w:cs="Times New Roman"/>
              </w:rPr>
            </w:pPr>
          </w:p>
        </w:tc>
        <w:tc>
          <w:tcPr>
            <w:tcW w:w="1984" w:type="dxa"/>
          </w:tcPr>
          <w:p w14:paraId="0B0F0D0E" w14:textId="77777777" w:rsidR="00EB2575" w:rsidRPr="000E2AA6" w:rsidRDefault="00EB2575" w:rsidP="00EB2575">
            <w:pPr>
              <w:jc w:val="both"/>
              <w:rPr>
                <w:rFonts w:ascii="Times New Roman" w:hAnsi="Times New Roman" w:cs="Times New Roman"/>
              </w:rPr>
            </w:pPr>
          </w:p>
        </w:tc>
        <w:tc>
          <w:tcPr>
            <w:tcW w:w="1418" w:type="dxa"/>
          </w:tcPr>
          <w:p w14:paraId="5B748111"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15B8795F" w14:textId="77777777" w:rsidTr="00BB074A">
        <w:tc>
          <w:tcPr>
            <w:tcW w:w="3114" w:type="dxa"/>
          </w:tcPr>
          <w:p w14:paraId="48DBE97F"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b/>
                <w:bCs/>
                <w:sz w:val="22"/>
                <w:szCs w:val="22"/>
              </w:rPr>
              <w:t xml:space="preserve">Orientarea 12 – Abateri de la ipotezele care stau la baza calculului SCR </w:t>
            </w:r>
          </w:p>
          <w:p w14:paraId="37998B3F"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1.26. Întreprinderea ar trebui să evalueze dacă profilul său de risc se abate de la ipotezele care stau la baza calculului SCR și dacă aceste abateri sunt semnificative. Întreprinderea poate, ca primă măsură, să realizeze o analiză </w:t>
            </w:r>
          </w:p>
          <w:p w14:paraId="187FCF20" w14:textId="77777777" w:rsidR="00EB2575" w:rsidRPr="000E2AA6" w:rsidRDefault="00EB2575" w:rsidP="00EB2575">
            <w:pPr>
              <w:pStyle w:val="Default"/>
              <w:jc w:val="both"/>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calitativă şi dacă din aceasta reiese că abaterea nu este semnificativă, atunci nu este necesară o evaluare cantitativă. </w:t>
            </w:r>
          </w:p>
          <w:p w14:paraId="7A39ACED" w14:textId="77777777" w:rsidR="00EB2575" w:rsidRPr="000E2AA6" w:rsidRDefault="00EB2575" w:rsidP="00EB2575">
            <w:pPr>
              <w:pStyle w:val="Default"/>
              <w:jc w:val="both"/>
              <w:rPr>
                <w:rFonts w:ascii="Times New Roman" w:hAnsi="Times New Roman" w:cs="Times New Roman"/>
                <w:b/>
                <w:bCs/>
                <w:sz w:val="22"/>
                <w:szCs w:val="22"/>
              </w:rPr>
            </w:pPr>
          </w:p>
        </w:tc>
        <w:tc>
          <w:tcPr>
            <w:tcW w:w="3260" w:type="dxa"/>
          </w:tcPr>
          <w:p w14:paraId="11AC0A0B" w14:textId="77777777" w:rsidR="00EB2575" w:rsidRPr="000E2AA6" w:rsidRDefault="00980C8A" w:rsidP="00EB2575">
            <w:pPr>
              <w:jc w:val="both"/>
              <w:rPr>
                <w:rFonts w:ascii="Times New Roman" w:hAnsi="Times New Roman" w:cs="Times New Roman"/>
              </w:rPr>
            </w:pPr>
            <w:r w:rsidRPr="000E2AA6">
              <w:rPr>
                <w:rFonts w:ascii="Times New Roman" w:hAnsi="Times New Roman" w:cs="Times New Roman"/>
              </w:rPr>
              <w:t>27.</w:t>
            </w:r>
            <w:r w:rsidRPr="000E2AA6">
              <w:rPr>
                <w:rFonts w:ascii="Times New Roman" w:hAnsi="Times New Roman" w:cs="Times New Roman"/>
              </w:rPr>
              <w:tab/>
              <w:t>Societatea va evalua dacă profilul său de risc se abate de la ipotezele care stau la baza calculului necesităților de capital și dacă aceste abateri sunt semnificative. Societatea, ca prima măsură, va realiza o analiză calitativă și dacă se va constata că abaterea nu este semnificativă, poate să nu recurgă la o analiză cantitativă, care este obligatorie în cazul în care abaterea este una semnificativă.</w:t>
            </w:r>
          </w:p>
        </w:tc>
        <w:tc>
          <w:tcPr>
            <w:tcW w:w="1276" w:type="dxa"/>
          </w:tcPr>
          <w:p w14:paraId="100A0AE9"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Partial compatibil</w:t>
            </w:r>
          </w:p>
        </w:tc>
        <w:tc>
          <w:tcPr>
            <w:tcW w:w="2410" w:type="dxa"/>
          </w:tcPr>
          <w:p w14:paraId="6C5147FC" w14:textId="77777777" w:rsidR="00EB2575" w:rsidRPr="000E2AA6" w:rsidRDefault="00C12DAE" w:rsidP="00EB2575">
            <w:pPr>
              <w:jc w:val="both"/>
              <w:rPr>
                <w:rFonts w:ascii="Times New Roman" w:hAnsi="Times New Roman" w:cs="Times New Roman"/>
              </w:rPr>
            </w:pPr>
            <w:r w:rsidRPr="000E2AA6">
              <w:rPr>
                <w:rFonts w:ascii="Times New Roman" w:hAnsi="Times New Roman" w:cs="Times New Roman"/>
              </w:rPr>
              <w:t>Ghidul EIOPA prevede respectarea cerințelor SCR, proiectul actului normativ se referă la respectarea cerințelor de capital stabilite prin Legea nr. 92/2022</w:t>
            </w:r>
          </w:p>
        </w:tc>
        <w:tc>
          <w:tcPr>
            <w:tcW w:w="1984" w:type="dxa"/>
          </w:tcPr>
          <w:p w14:paraId="0543895C" w14:textId="063FA18B" w:rsidR="00EB2575" w:rsidRPr="000E2AA6" w:rsidRDefault="005A0CA3" w:rsidP="00EB2575">
            <w:pPr>
              <w:jc w:val="both"/>
              <w:rPr>
                <w:rFonts w:ascii="Times New Roman" w:hAnsi="Times New Roman" w:cs="Times New Roman"/>
              </w:rPr>
            </w:pPr>
            <w:r w:rsidRPr="000E2AA6">
              <w:rPr>
                <w:rFonts w:ascii="Times New Roman" w:hAnsi="Times New Roman" w:cs="Times New Roman"/>
              </w:rPr>
              <w:t>Aplicarea integra</w:t>
            </w:r>
            <w:r w:rsidR="008338E9" w:rsidRPr="000E2AA6">
              <w:rPr>
                <w:rFonts w:ascii="Times New Roman" w:hAnsi="Times New Roman" w:cs="Times New Roman"/>
              </w:rPr>
              <w:t xml:space="preserve">lă odată cu adoptarea legii noi </w:t>
            </w:r>
            <w:r w:rsidRPr="000E2AA6">
              <w:rPr>
                <w:rFonts w:ascii="Times New Roman" w:hAnsi="Times New Roman" w:cs="Times New Roman"/>
              </w:rPr>
              <w:t>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0AF936D0"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5A42DC50" w14:textId="77777777" w:rsidTr="00BB074A">
        <w:tc>
          <w:tcPr>
            <w:tcW w:w="3114" w:type="dxa"/>
          </w:tcPr>
          <w:p w14:paraId="6114E0A4"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b/>
                <w:bCs/>
                <w:sz w:val="22"/>
                <w:szCs w:val="22"/>
              </w:rPr>
              <w:t xml:space="preserve">Orientarea 13 – Legătura cu procesul de management strategic și cadrul decizional </w:t>
            </w:r>
          </w:p>
          <w:p w14:paraId="78FAD714"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1.27. Întreprinderea ar trebui să țină seama de rezultatele ORSA și de informațiile obținute în cursul procesului acestei evaluări, cel puțin pentru: </w:t>
            </w:r>
          </w:p>
          <w:p w14:paraId="4A1A22DC" w14:textId="77777777" w:rsidR="00EB2575" w:rsidRPr="000E2AA6" w:rsidRDefault="00EB2575" w:rsidP="004E3627">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a) managementul capitalului; </w:t>
            </w:r>
          </w:p>
          <w:p w14:paraId="67B830DB" w14:textId="77777777" w:rsidR="00EB2575" w:rsidRPr="000E2AA6" w:rsidRDefault="00EB2575" w:rsidP="004E3627">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b) planificarea activităților; </w:t>
            </w:r>
          </w:p>
          <w:p w14:paraId="203720B8" w14:textId="77777777" w:rsidR="00EB2575" w:rsidRPr="000E2AA6" w:rsidRDefault="00EB2575" w:rsidP="00EB2575">
            <w:pPr>
              <w:pStyle w:val="Default"/>
              <w:jc w:val="both"/>
              <w:rPr>
                <w:rFonts w:ascii="Times New Roman" w:hAnsi="Times New Roman" w:cs="Times New Roman"/>
                <w:sz w:val="22"/>
                <w:szCs w:val="22"/>
              </w:rPr>
            </w:pPr>
            <w:r w:rsidRPr="000E2AA6">
              <w:rPr>
                <w:rFonts w:ascii="Times New Roman" w:hAnsi="Times New Roman" w:cs="Times New Roman"/>
                <w:sz w:val="22"/>
                <w:szCs w:val="22"/>
              </w:rPr>
              <w:t xml:space="preserve">c) elaborarea și dezvoltarea produselor. </w:t>
            </w:r>
          </w:p>
          <w:p w14:paraId="7DEF008A" w14:textId="77777777" w:rsidR="00EB2575" w:rsidRPr="000E2AA6" w:rsidRDefault="00EB2575" w:rsidP="00EB2575">
            <w:pPr>
              <w:pStyle w:val="Default"/>
              <w:jc w:val="both"/>
              <w:rPr>
                <w:rFonts w:ascii="Times New Roman" w:hAnsi="Times New Roman" w:cs="Times New Roman"/>
                <w:b/>
                <w:bCs/>
                <w:sz w:val="22"/>
                <w:szCs w:val="22"/>
              </w:rPr>
            </w:pPr>
          </w:p>
        </w:tc>
        <w:tc>
          <w:tcPr>
            <w:tcW w:w="3260" w:type="dxa"/>
          </w:tcPr>
          <w:p w14:paraId="54F4BC32" w14:textId="77777777" w:rsidR="00EB2575" w:rsidRPr="000E2AA6" w:rsidRDefault="008B49A6" w:rsidP="00EB2575">
            <w:pPr>
              <w:jc w:val="both"/>
              <w:rPr>
                <w:rFonts w:ascii="Times New Roman" w:hAnsi="Times New Roman" w:cs="Times New Roman"/>
              </w:rPr>
            </w:pPr>
            <w:r w:rsidRPr="000E2AA6">
              <w:rPr>
                <w:rFonts w:ascii="Times New Roman" w:hAnsi="Times New Roman" w:cs="Times New Roman"/>
              </w:rPr>
              <w:t>7. Rezultatele evaluării interne și cunoștințele dobândite în acest proces sunt luate în considerare pentru sistemul de guvernanță, managementul societății, planificarea afacerii pe termen scurt și mediu, dezvoltarea produselor de asigurare.</w:t>
            </w:r>
          </w:p>
        </w:tc>
        <w:tc>
          <w:tcPr>
            <w:tcW w:w="1276" w:type="dxa"/>
          </w:tcPr>
          <w:p w14:paraId="4BE4B2FD" w14:textId="77777777" w:rsidR="00EB2575" w:rsidRPr="000E2AA6" w:rsidRDefault="000220EF"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1FB3722C" w14:textId="77777777" w:rsidR="00EB2575" w:rsidRPr="000E2AA6" w:rsidRDefault="00EB2575" w:rsidP="00EB2575">
            <w:pPr>
              <w:jc w:val="both"/>
              <w:rPr>
                <w:rFonts w:ascii="Times New Roman" w:hAnsi="Times New Roman" w:cs="Times New Roman"/>
              </w:rPr>
            </w:pPr>
          </w:p>
        </w:tc>
        <w:tc>
          <w:tcPr>
            <w:tcW w:w="1984" w:type="dxa"/>
          </w:tcPr>
          <w:p w14:paraId="422FC8CB" w14:textId="77777777" w:rsidR="00EB2575" w:rsidRPr="000E2AA6" w:rsidRDefault="00EB2575" w:rsidP="00EB2575">
            <w:pPr>
              <w:jc w:val="both"/>
              <w:rPr>
                <w:rFonts w:ascii="Times New Roman" w:hAnsi="Times New Roman" w:cs="Times New Roman"/>
              </w:rPr>
            </w:pPr>
          </w:p>
        </w:tc>
        <w:tc>
          <w:tcPr>
            <w:tcW w:w="1418" w:type="dxa"/>
          </w:tcPr>
          <w:p w14:paraId="3E36E02C"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59BB298B" w14:textId="77777777" w:rsidTr="00BB074A">
        <w:tc>
          <w:tcPr>
            <w:tcW w:w="3114" w:type="dxa"/>
          </w:tcPr>
          <w:p w14:paraId="520ACB38"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14 – Frecvența </w:t>
            </w:r>
          </w:p>
          <w:p w14:paraId="0322FB3D" w14:textId="77777777" w:rsidR="00EB2575" w:rsidRPr="000E2AA6" w:rsidRDefault="000038B9" w:rsidP="00EB2575">
            <w:pPr>
              <w:pStyle w:val="Default"/>
              <w:rPr>
                <w:rFonts w:ascii="Times New Roman" w:hAnsi="Times New Roman" w:cs="Times New Roman"/>
                <w:sz w:val="22"/>
                <w:szCs w:val="22"/>
              </w:rPr>
            </w:pPr>
            <w:r w:rsidRPr="000E2AA6">
              <w:rPr>
                <w:rFonts w:ascii="Times New Roman" w:hAnsi="Times New Roman" w:cs="Times New Roman"/>
                <w:sz w:val="22"/>
                <w:szCs w:val="22"/>
              </w:rPr>
              <w:t>1.28. Î</w:t>
            </w:r>
            <w:r w:rsidR="00EB2575" w:rsidRPr="000E2AA6">
              <w:rPr>
                <w:rFonts w:ascii="Times New Roman" w:hAnsi="Times New Roman" w:cs="Times New Roman"/>
                <w:sz w:val="22"/>
                <w:szCs w:val="22"/>
              </w:rPr>
              <w:t xml:space="preserve">ntreprinderea ar trebui să efectueze, cel puțin o dată pe an, evaluarea ORSA. </w:t>
            </w:r>
          </w:p>
          <w:p w14:paraId="700D091B" w14:textId="77777777" w:rsidR="00EB2575" w:rsidRPr="000E2AA6" w:rsidRDefault="00EB2575" w:rsidP="00EB2575">
            <w:pPr>
              <w:pStyle w:val="Default"/>
              <w:rPr>
                <w:rFonts w:ascii="Times New Roman" w:hAnsi="Times New Roman" w:cs="Times New Roman"/>
                <w:b/>
                <w:bCs/>
                <w:sz w:val="22"/>
                <w:szCs w:val="22"/>
              </w:rPr>
            </w:pPr>
          </w:p>
        </w:tc>
        <w:tc>
          <w:tcPr>
            <w:tcW w:w="3260" w:type="dxa"/>
          </w:tcPr>
          <w:p w14:paraId="3F23489F" w14:textId="77777777" w:rsidR="00EB2575" w:rsidRPr="000E2AA6" w:rsidRDefault="000038B9" w:rsidP="00EB2575">
            <w:pPr>
              <w:jc w:val="both"/>
              <w:rPr>
                <w:rFonts w:ascii="Times New Roman" w:hAnsi="Times New Roman" w:cs="Times New Roman"/>
              </w:rPr>
            </w:pPr>
            <w:r w:rsidRPr="000E2AA6">
              <w:rPr>
                <w:rFonts w:ascii="Times New Roman" w:hAnsi="Times New Roman" w:cs="Times New Roman"/>
              </w:rPr>
              <w:t>11. Societatea realizează evaluarea internă cel puțin odată pe an și după orice modificare semnificativă a profilului său de risc.</w:t>
            </w:r>
          </w:p>
        </w:tc>
        <w:tc>
          <w:tcPr>
            <w:tcW w:w="1276" w:type="dxa"/>
          </w:tcPr>
          <w:p w14:paraId="47A5D740" w14:textId="77777777" w:rsidR="00EB2575" w:rsidRPr="000E2AA6" w:rsidRDefault="000220EF" w:rsidP="00EB2575">
            <w:pPr>
              <w:jc w:val="both"/>
              <w:rPr>
                <w:rFonts w:ascii="Times New Roman" w:hAnsi="Times New Roman" w:cs="Times New Roman"/>
              </w:rPr>
            </w:pPr>
            <w:r w:rsidRPr="000E2AA6">
              <w:rPr>
                <w:rFonts w:ascii="Times New Roman" w:hAnsi="Times New Roman" w:cs="Times New Roman"/>
              </w:rPr>
              <w:t>C</w:t>
            </w:r>
            <w:r w:rsidR="00EB2575" w:rsidRPr="000E2AA6">
              <w:rPr>
                <w:rFonts w:ascii="Times New Roman" w:hAnsi="Times New Roman" w:cs="Times New Roman"/>
              </w:rPr>
              <w:t>ompatibil</w:t>
            </w:r>
          </w:p>
        </w:tc>
        <w:tc>
          <w:tcPr>
            <w:tcW w:w="2410" w:type="dxa"/>
          </w:tcPr>
          <w:p w14:paraId="403F83C6" w14:textId="77777777" w:rsidR="00EB2575" w:rsidRPr="000E2AA6" w:rsidRDefault="00EB2575" w:rsidP="00EB2575">
            <w:pPr>
              <w:jc w:val="both"/>
              <w:rPr>
                <w:rFonts w:ascii="Times New Roman" w:hAnsi="Times New Roman" w:cs="Times New Roman"/>
              </w:rPr>
            </w:pPr>
          </w:p>
        </w:tc>
        <w:tc>
          <w:tcPr>
            <w:tcW w:w="1984" w:type="dxa"/>
          </w:tcPr>
          <w:p w14:paraId="5FAF0E62" w14:textId="77777777" w:rsidR="00EB2575" w:rsidRPr="000E2AA6" w:rsidRDefault="00EB2575" w:rsidP="00EB2575">
            <w:pPr>
              <w:jc w:val="both"/>
              <w:rPr>
                <w:rFonts w:ascii="Times New Roman" w:hAnsi="Times New Roman" w:cs="Times New Roman"/>
              </w:rPr>
            </w:pPr>
          </w:p>
        </w:tc>
        <w:tc>
          <w:tcPr>
            <w:tcW w:w="1418" w:type="dxa"/>
          </w:tcPr>
          <w:p w14:paraId="59C79C11"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EB2575" w:rsidRPr="000E2AA6" w14:paraId="71791CC0" w14:textId="77777777" w:rsidTr="00BB074A">
        <w:tc>
          <w:tcPr>
            <w:tcW w:w="3114" w:type="dxa"/>
          </w:tcPr>
          <w:p w14:paraId="7C358C83"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b/>
                <w:bCs/>
                <w:sz w:val="22"/>
                <w:szCs w:val="22"/>
              </w:rPr>
              <w:lastRenderedPageBreak/>
              <w:t xml:space="preserve">Orientarea 15 – Domeniul de aplicare al evaluării ORSA la nivel de grup </w:t>
            </w:r>
          </w:p>
          <w:p w14:paraId="2D5C87AF" w14:textId="77777777" w:rsidR="00EB2575" w:rsidRPr="000E2AA6" w:rsidRDefault="00EB2575" w:rsidP="00EB2575">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1.29. Întreprinderea de asigurare sau reasigurare participantă, societatea holding de asigurare sau societatea holding financiară mixtă ar trebui să planifice evaluarea ORSA a grupului astfel încât să reflecte natura structurii grupului și profilul său de risc. Acestea ar trebui să cuprindă în evaluarea ORSA a grupului riscurile esențiale provenite de la toate entitățile ce fac parte din grup. </w:t>
            </w:r>
          </w:p>
          <w:p w14:paraId="51CE156C" w14:textId="77777777" w:rsidR="00EB2575" w:rsidRPr="000E2AA6" w:rsidRDefault="00EB2575" w:rsidP="00EB2575">
            <w:pPr>
              <w:pStyle w:val="Default"/>
              <w:rPr>
                <w:rFonts w:ascii="Times New Roman" w:hAnsi="Times New Roman" w:cs="Times New Roman"/>
                <w:b/>
                <w:bCs/>
                <w:sz w:val="22"/>
                <w:szCs w:val="22"/>
              </w:rPr>
            </w:pPr>
          </w:p>
        </w:tc>
        <w:tc>
          <w:tcPr>
            <w:tcW w:w="3260" w:type="dxa"/>
          </w:tcPr>
          <w:p w14:paraId="6A18A9B2" w14:textId="77777777" w:rsidR="00EB2575" w:rsidRPr="000E2AA6" w:rsidRDefault="00EB2575" w:rsidP="00BB074A">
            <w:pPr>
              <w:tabs>
                <w:tab w:val="left" w:pos="280"/>
              </w:tabs>
              <w:jc w:val="both"/>
              <w:rPr>
                <w:rFonts w:ascii="Times New Roman" w:hAnsi="Times New Roman" w:cs="Times New Roman"/>
              </w:rPr>
            </w:pPr>
            <w:r w:rsidRPr="000E2AA6">
              <w:rPr>
                <w:rFonts w:ascii="Times New Roman" w:hAnsi="Times New Roman" w:cs="Times New Roman"/>
              </w:rPr>
              <w:t>2.</w:t>
            </w:r>
            <w:r w:rsidRPr="000E2AA6">
              <w:rPr>
                <w:rFonts w:ascii="Times New Roman" w:hAnsi="Times New Roman" w:cs="Times New Roman"/>
              </w:rPr>
              <w:tab/>
              <w:t>Dispozițiile prezentului Regulament se aplică:</w:t>
            </w:r>
          </w:p>
          <w:p w14:paraId="4F330D38" w14:textId="77777777" w:rsidR="00EB2575" w:rsidRPr="000E2AA6" w:rsidRDefault="00EB2575" w:rsidP="00BB074A">
            <w:pPr>
              <w:tabs>
                <w:tab w:val="left" w:pos="280"/>
              </w:tabs>
              <w:jc w:val="both"/>
              <w:rPr>
                <w:rFonts w:ascii="Times New Roman" w:hAnsi="Times New Roman" w:cs="Times New Roman"/>
              </w:rPr>
            </w:pPr>
            <w:r w:rsidRPr="000E2AA6">
              <w:rPr>
                <w:rFonts w:ascii="Times New Roman" w:hAnsi="Times New Roman" w:cs="Times New Roman"/>
              </w:rPr>
              <w:t>3)</w:t>
            </w:r>
            <w:r w:rsidRPr="000E2AA6">
              <w:rPr>
                <w:rFonts w:ascii="Times New Roman" w:hAnsi="Times New Roman" w:cs="Times New Roman"/>
              </w:rPr>
              <w:tab/>
              <w:t>societăților participative, holdingurilor de asigurare sau holdingurilor financiare mixte care fac parte dintr-un grup.</w:t>
            </w:r>
          </w:p>
          <w:p w14:paraId="748F0B56" w14:textId="77777777" w:rsidR="0003703F" w:rsidRPr="000E2AA6" w:rsidRDefault="0003703F" w:rsidP="00BB074A">
            <w:pPr>
              <w:tabs>
                <w:tab w:val="left" w:pos="280"/>
              </w:tabs>
              <w:jc w:val="both"/>
              <w:rPr>
                <w:rFonts w:ascii="Times New Roman" w:hAnsi="Times New Roman" w:cs="Times New Roman"/>
              </w:rPr>
            </w:pPr>
            <w:r w:rsidRPr="000E2AA6">
              <w:rPr>
                <w:rFonts w:ascii="Times New Roman" w:hAnsi="Times New Roman" w:cs="Times New Roman"/>
              </w:rPr>
              <w:t>13.</w:t>
            </w:r>
            <w:r w:rsidRPr="000E2AA6">
              <w:rPr>
                <w:rFonts w:ascii="Times New Roman" w:hAnsi="Times New Roman" w:cs="Times New Roman"/>
              </w:rPr>
              <w:tab/>
              <w:t xml:space="preserve"> Evaluarea internă în cadrul unui grup se efectuează utilizând procese uniformizate aplicabile întregului grup, ținând cont de riscurile specifice grupului, inclusiv de cele care ar putea fi mai puțin relevante la nivel individual decât la nivel de grup.</w:t>
            </w:r>
          </w:p>
          <w:p w14:paraId="2EB2D4F5" w14:textId="77777777" w:rsidR="00EB2575" w:rsidRPr="000E2AA6" w:rsidRDefault="0003703F" w:rsidP="00BB074A">
            <w:pPr>
              <w:tabs>
                <w:tab w:val="left" w:pos="280"/>
              </w:tabs>
              <w:jc w:val="both"/>
              <w:rPr>
                <w:rFonts w:ascii="Times New Roman" w:hAnsi="Times New Roman" w:cs="Times New Roman"/>
              </w:rPr>
            </w:pPr>
            <w:r w:rsidRPr="000E2AA6">
              <w:rPr>
                <w:rFonts w:ascii="Times New Roman" w:hAnsi="Times New Roman" w:cs="Times New Roman"/>
              </w:rPr>
              <w:t>23.</w:t>
            </w:r>
            <w:r w:rsidRPr="000E2AA6">
              <w:rPr>
                <w:rFonts w:ascii="Times New Roman" w:hAnsi="Times New Roman" w:cs="Times New Roman"/>
              </w:rPr>
              <w:tab/>
              <w:t xml:space="preserve"> Riscurile semnificative nu se vor limita doar la riscuri cuantificabile, ci vor include și altfel de riscuri, fără a se limita la acestea: ……. și riscuri de grup.</w:t>
            </w:r>
          </w:p>
        </w:tc>
        <w:tc>
          <w:tcPr>
            <w:tcW w:w="1276" w:type="dxa"/>
          </w:tcPr>
          <w:p w14:paraId="1DA09871"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Partial compatibil</w:t>
            </w:r>
          </w:p>
        </w:tc>
        <w:tc>
          <w:tcPr>
            <w:tcW w:w="2410" w:type="dxa"/>
          </w:tcPr>
          <w:p w14:paraId="3504EDEF" w14:textId="77777777" w:rsidR="00EB2575" w:rsidRPr="000E2AA6" w:rsidRDefault="00EB2575" w:rsidP="00EB2575">
            <w:pPr>
              <w:jc w:val="both"/>
              <w:rPr>
                <w:rFonts w:ascii="Times New Roman" w:hAnsi="Times New Roman" w:cs="Times New Roman"/>
              </w:rPr>
            </w:pPr>
          </w:p>
        </w:tc>
        <w:tc>
          <w:tcPr>
            <w:tcW w:w="1984" w:type="dxa"/>
          </w:tcPr>
          <w:p w14:paraId="1928BD39" w14:textId="37CFE6D2" w:rsidR="00EB2575" w:rsidRPr="000E2AA6" w:rsidRDefault="005A0CA3" w:rsidP="004D010D">
            <w:pPr>
              <w:jc w:val="both"/>
              <w:rPr>
                <w:rFonts w:ascii="Times New Roman" w:hAnsi="Times New Roman" w:cs="Times New Roman"/>
              </w:rPr>
            </w:pPr>
            <w:r w:rsidRPr="000E2AA6">
              <w:rPr>
                <w:rFonts w:ascii="Times New Roman" w:hAnsi="Times New Roman" w:cs="Times New Roman"/>
              </w:rPr>
              <w:t>Aplicarea integrală odată cu adoptarea legii noi</w:t>
            </w:r>
            <w:r w:rsidR="004D010D" w:rsidRPr="000E2AA6">
              <w:rPr>
                <w:rFonts w:ascii="Times New Roman" w:hAnsi="Times New Roman" w:cs="Times New Roman"/>
              </w:rPr>
              <w:t xml:space="preserve"> </w:t>
            </w:r>
            <w:r w:rsidRPr="000E2AA6">
              <w:rPr>
                <w:rFonts w:ascii="Times New Roman" w:hAnsi="Times New Roman" w:cs="Times New Roman"/>
              </w:rPr>
              <w:t>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4AEFED8D" w14:textId="77777777" w:rsidR="00EB2575" w:rsidRPr="000E2AA6" w:rsidRDefault="00EB2575" w:rsidP="00EB2575">
            <w:pPr>
              <w:jc w:val="both"/>
              <w:rPr>
                <w:rFonts w:ascii="Times New Roman" w:hAnsi="Times New Roman" w:cs="Times New Roman"/>
              </w:rPr>
            </w:pPr>
            <w:r w:rsidRPr="000E2AA6">
              <w:rPr>
                <w:rFonts w:ascii="Times New Roman" w:hAnsi="Times New Roman" w:cs="Times New Roman"/>
              </w:rPr>
              <w:t>BNM</w:t>
            </w:r>
          </w:p>
        </w:tc>
      </w:tr>
      <w:tr w:rsidR="004D010D" w:rsidRPr="000E2AA6" w14:paraId="4F2F78DA" w14:textId="77777777" w:rsidTr="00BB074A">
        <w:tc>
          <w:tcPr>
            <w:tcW w:w="3114" w:type="dxa"/>
          </w:tcPr>
          <w:p w14:paraId="4E50EC7B" w14:textId="77777777" w:rsidR="004D010D" w:rsidRPr="000E2AA6" w:rsidRDefault="004D010D" w:rsidP="004D010D">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16 – Raportarea către autoritățile de supraveghere </w:t>
            </w:r>
          </w:p>
          <w:p w14:paraId="118D18E8" w14:textId="77777777" w:rsidR="004D010D" w:rsidRPr="000E2AA6" w:rsidRDefault="004D010D" w:rsidP="004D010D">
            <w:pPr>
              <w:pStyle w:val="Default"/>
              <w:rPr>
                <w:rFonts w:ascii="Times New Roman" w:hAnsi="Times New Roman" w:cs="Times New Roman"/>
                <w:sz w:val="22"/>
                <w:szCs w:val="22"/>
              </w:rPr>
            </w:pPr>
            <w:r w:rsidRPr="000E2AA6">
              <w:rPr>
                <w:rFonts w:ascii="Times New Roman" w:hAnsi="Times New Roman" w:cs="Times New Roman"/>
                <w:sz w:val="22"/>
                <w:szCs w:val="22"/>
              </w:rPr>
              <w:t xml:space="preserve">1.30. Întreprinderea de asigurare sau reasigurare participantă, societatea holding de asigurare sau societatea holding financiară mixtă ar trebui să trimită supraveghetorului grupului raportul ORSA de supraveghere a grupului. Documentul trimis supraveghetorului grupului cu rezultatul evaluării ORSA a grupului ar trebui să fie redactat în aceeași limbă ca și Rapoartele de supraveghere periodice ale grupului. </w:t>
            </w:r>
          </w:p>
          <w:p w14:paraId="6D01372C" w14:textId="77777777" w:rsidR="004D010D" w:rsidRPr="000E2AA6" w:rsidRDefault="004D010D" w:rsidP="004D010D">
            <w:pPr>
              <w:pStyle w:val="Default"/>
              <w:rPr>
                <w:rFonts w:ascii="Times New Roman" w:hAnsi="Times New Roman" w:cs="Times New Roman"/>
                <w:b/>
                <w:bCs/>
                <w:sz w:val="22"/>
                <w:szCs w:val="22"/>
              </w:rPr>
            </w:pPr>
          </w:p>
        </w:tc>
        <w:tc>
          <w:tcPr>
            <w:tcW w:w="3260" w:type="dxa"/>
          </w:tcPr>
          <w:p w14:paraId="62AE8A58" w14:textId="77777777" w:rsidR="004D010D" w:rsidRPr="000E2AA6" w:rsidRDefault="004D010D" w:rsidP="004D010D">
            <w:pPr>
              <w:jc w:val="both"/>
              <w:rPr>
                <w:rFonts w:ascii="Times New Roman" w:hAnsi="Times New Roman" w:cs="Times New Roman"/>
              </w:rPr>
            </w:pPr>
          </w:p>
        </w:tc>
        <w:tc>
          <w:tcPr>
            <w:tcW w:w="1276" w:type="dxa"/>
          </w:tcPr>
          <w:p w14:paraId="5CFE3971" w14:textId="77777777" w:rsidR="004D010D" w:rsidRPr="000E2AA6" w:rsidRDefault="00F409AA" w:rsidP="004D010D">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1FEE9E56" w14:textId="77777777" w:rsidR="004D010D" w:rsidRPr="000E2AA6" w:rsidRDefault="004D010D" w:rsidP="004D010D">
            <w:pPr>
              <w:jc w:val="both"/>
              <w:rPr>
                <w:rFonts w:ascii="Times New Roman" w:hAnsi="Times New Roman" w:cs="Times New Roman"/>
              </w:rPr>
            </w:pPr>
          </w:p>
        </w:tc>
        <w:tc>
          <w:tcPr>
            <w:tcW w:w="1984" w:type="dxa"/>
          </w:tcPr>
          <w:p w14:paraId="203D0D81" w14:textId="47B691D5" w:rsidR="004D010D" w:rsidRPr="000E2AA6" w:rsidRDefault="004D010D" w:rsidP="004D010D">
            <w:pPr>
              <w:jc w:val="both"/>
              <w:rPr>
                <w:rFonts w:ascii="Times New Roman" w:hAnsi="Times New Roman" w:cs="Times New Roman"/>
              </w:rPr>
            </w:pPr>
            <w:r w:rsidRPr="000E2AA6">
              <w:rPr>
                <w:rFonts w:ascii="Times New Roman" w:hAnsi="Times New Roman" w:cs="Times New Roman"/>
              </w:rPr>
              <w:t>Aplicarea integrală odată cu adoptarea 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613BD38B" w14:textId="77777777" w:rsidR="004D010D" w:rsidRPr="000E2AA6" w:rsidRDefault="004D010D" w:rsidP="004D010D">
            <w:pPr>
              <w:jc w:val="both"/>
              <w:rPr>
                <w:rFonts w:ascii="Times New Roman" w:hAnsi="Times New Roman" w:cs="Times New Roman"/>
              </w:rPr>
            </w:pPr>
          </w:p>
        </w:tc>
      </w:tr>
      <w:tr w:rsidR="00F409AA" w:rsidRPr="000E2AA6" w14:paraId="5296D5D6" w14:textId="77777777" w:rsidTr="00BB074A">
        <w:tc>
          <w:tcPr>
            <w:tcW w:w="3114" w:type="dxa"/>
          </w:tcPr>
          <w:p w14:paraId="6B3C189C" w14:textId="77777777" w:rsidR="00F409AA" w:rsidRPr="000E2AA6" w:rsidRDefault="00F409AA" w:rsidP="00F409AA">
            <w:pPr>
              <w:pStyle w:val="Default"/>
              <w:rPr>
                <w:rFonts w:ascii="Times New Roman" w:hAnsi="Times New Roman" w:cs="Times New Roman"/>
                <w:b/>
                <w:bCs/>
                <w:sz w:val="22"/>
                <w:szCs w:val="22"/>
              </w:rPr>
            </w:pPr>
            <w:r w:rsidRPr="000E2AA6">
              <w:rPr>
                <w:rFonts w:ascii="Times New Roman" w:hAnsi="Times New Roman" w:cs="Times New Roman"/>
                <w:b/>
                <w:bCs/>
                <w:sz w:val="22"/>
                <w:szCs w:val="22"/>
              </w:rPr>
              <w:t>Orientarea 16</w:t>
            </w:r>
          </w:p>
          <w:p w14:paraId="7B891B91" w14:textId="77777777" w:rsidR="00F409AA" w:rsidRPr="000E2AA6" w:rsidRDefault="00F409AA" w:rsidP="00F409AA">
            <w:pPr>
              <w:pStyle w:val="Default"/>
              <w:rPr>
                <w:rFonts w:ascii="Times New Roman" w:hAnsi="Times New Roman" w:cs="Times New Roman"/>
                <w:sz w:val="22"/>
                <w:szCs w:val="22"/>
              </w:rPr>
            </w:pPr>
          </w:p>
          <w:p w14:paraId="55F39677" w14:textId="77777777" w:rsidR="00F409AA" w:rsidRPr="000E2AA6" w:rsidRDefault="00F409AA" w:rsidP="00F409AA">
            <w:pPr>
              <w:pStyle w:val="Default"/>
              <w:rPr>
                <w:rFonts w:ascii="Times New Roman" w:hAnsi="Times New Roman" w:cs="Times New Roman"/>
                <w:sz w:val="22"/>
                <w:szCs w:val="22"/>
              </w:rPr>
            </w:pPr>
            <w:r w:rsidRPr="000E2AA6">
              <w:rPr>
                <w:rFonts w:ascii="Times New Roman" w:hAnsi="Times New Roman" w:cs="Times New Roman"/>
                <w:sz w:val="22"/>
                <w:szCs w:val="22"/>
              </w:rPr>
              <w:lastRenderedPageBreak/>
              <w:t xml:space="preserve">1.31. Dacă a fost pregătit un document ORSA unic, întreprinderea de asigurare sau reasigurare participantă, societatea holding de asigurare sau societatea holding financiară mixtă ar trebui să se asigure că, la solicitarea unui membru sau a unui nou membru al colegiului, acestuia i se va pune la dispoziție, în timp util, o traducere în limba oficială a statului membru respectiv a acelor informații din evaluarea ORSA care au legătură cu întreprinderea respectivă. </w:t>
            </w:r>
          </w:p>
          <w:p w14:paraId="7CE038C1" w14:textId="77777777" w:rsidR="00F409AA" w:rsidRPr="000E2AA6" w:rsidRDefault="00F409AA" w:rsidP="00F409AA">
            <w:pPr>
              <w:pStyle w:val="Default"/>
              <w:rPr>
                <w:rFonts w:ascii="Times New Roman" w:hAnsi="Times New Roman" w:cs="Times New Roman"/>
                <w:b/>
                <w:bCs/>
                <w:sz w:val="22"/>
                <w:szCs w:val="22"/>
              </w:rPr>
            </w:pPr>
          </w:p>
        </w:tc>
        <w:tc>
          <w:tcPr>
            <w:tcW w:w="3260" w:type="dxa"/>
          </w:tcPr>
          <w:p w14:paraId="40EE4909" w14:textId="77777777" w:rsidR="00F409AA" w:rsidRPr="000E2AA6" w:rsidRDefault="00F409AA" w:rsidP="00F409AA">
            <w:pPr>
              <w:jc w:val="both"/>
              <w:rPr>
                <w:rFonts w:ascii="Times New Roman" w:hAnsi="Times New Roman" w:cs="Times New Roman"/>
              </w:rPr>
            </w:pPr>
          </w:p>
        </w:tc>
        <w:tc>
          <w:tcPr>
            <w:tcW w:w="1276" w:type="dxa"/>
          </w:tcPr>
          <w:p w14:paraId="1074C11A"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6A20CC53" w14:textId="77777777" w:rsidR="00F409AA" w:rsidRPr="000E2AA6" w:rsidRDefault="00F409AA" w:rsidP="00F409AA">
            <w:pPr>
              <w:jc w:val="both"/>
              <w:rPr>
                <w:rFonts w:ascii="Times New Roman" w:hAnsi="Times New Roman" w:cs="Times New Roman"/>
              </w:rPr>
            </w:pPr>
          </w:p>
        </w:tc>
        <w:tc>
          <w:tcPr>
            <w:tcW w:w="1984" w:type="dxa"/>
          </w:tcPr>
          <w:p w14:paraId="074B69BE" w14:textId="1BD09316"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Aplicarea integrală odată cu adoptarea legii noi ce va </w:t>
            </w:r>
            <w:r w:rsidRPr="000E2AA6">
              <w:rPr>
                <w:rFonts w:ascii="Times New Roman" w:hAnsi="Times New Roman" w:cs="Times New Roman"/>
              </w:rPr>
              <w:lastRenderedPageBreak/>
              <w:t>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73244C7A" w14:textId="77777777" w:rsidR="00F409AA" w:rsidRPr="000E2AA6" w:rsidRDefault="00F409AA" w:rsidP="00F409AA">
            <w:pPr>
              <w:jc w:val="both"/>
              <w:rPr>
                <w:rFonts w:ascii="Times New Roman" w:hAnsi="Times New Roman" w:cs="Times New Roman"/>
              </w:rPr>
            </w:pPr>
          </w:p>
        </w:tc>
      </w:tr>
      <w:tr w:rsidR="00F409AA" w:rsidRPr="000E2AA6" w14:paraId="3FFE32FA" w14:textId="77777777" w:rsidTr="00BB074A">
        <w:tc>
          <w:tcPr>
            <w:tcW w:w="3114" w:type="dxa"/>
          </w:tcPr>
          <w:p w14:paraId="7F9653C5" w14:textId="77777777" w:rsidR="00F409AA" w:rsidRPr="000E2AA6" w:rsidRDefault="00F409AA" w:rsidP="00F409AA">
            <w:pPr>
              <w:pStyle w:val="Default"/>
              <w:rPr>
                <w:rFonts w:ascii="Times New Roman" w:hAnsi="Times New Roman" w:cs="Times New Roman"/>
                <w:sz w:val="22"/>
                <w:szCs w:val="22"/>
              </w:rPr>
            </w:pPr>
            <w:r w:rsidRPr="000E2AA6">
              <w:rPr>
                <w:rFonts w:ascii="Times New Roman" w:hAnsi="Times New Roman" w:cs="Times New Roman"/>
                <w:b/>
                <w:bCs/>
                <w:sz w:val="22"/>
                <w:szCs w:val="22"/>
              </w:rPr>
              <w:t xml:space="preserve">Orientarea 17 – Particularitățile grupului în funcție de nevoile globale de solvabilitate </w:t>
            </w:r>
          </w:p>
          <w:p w14:paraId="4518B563" w14:textId="77777777" w:rsidR="00F409AA" w:rsidRPr="000E2AA6" w:rsidRDefault="00F409AA" w:rsidP="00BB074A">
            <w:pPr>
              <w:pStyle w:val="Default"/>
              <w:ind w:right="-110"/>
              <w:rPr>
                <w:rFonts w:ascii="Times New Roman" w:hAnsi="Times New Roman" w:cs="Times New Roman"/>
                <w:sz w:val="22"/>
                <w:szCs w:val="22"/>
              </w:rPr>
            </w:pPr>
            <w:r w:rsidRPr="000E2AA6">
              <w:rPr>
                <w:rFonts w:ascii="Times New Roman" w:hAnsi="Times New Roman" w:cs="Times New Roman"/>
                <w:sz w:val="22"/>
                <w:szCs w:val="22"/>
              </w:rPr>
              <w:t xml:space="preserve">1.32. Întreprinderea de asigurare sau reasigurare participantă, societatea holding de asigurare sau societatea holding financiară mixtă ar trebui să evalueze impactul tuturor riscurilor specifice grupului și interdependențele din interiorul grupului, precum și impactul acestor riscuri și interdependențe asupra necesităţilor generale de solvabilitate. Aceștia ar trebui să ia în considerare caracterul specific al grupului și faptul că unele riscuri se pot intensifica la nivelul grupului. </w:t>
            </w:r>
          </w:p>
          <w:p w14:paraId="5FF36484" w14:textId="77777777" w:rsidR="00F409AA" w:rsidRPr="000E2AA6" w:rsidRDefault="00F409AA" w:rsidP="00F409AA">
            <w:pPr>
              <w:pStyle w:val="Default"/>
              <w:rPr>
                <w:rFonts w:ascii="Times New Roman" w:hAnsi="Times New Roman" w:cs="Times New Roman"/>
                <w:b/>
                <w:bCs/>
                <w:sz w:val="22"/>
                <w:szCs w:val="22"/>
              </w:rPr>
            </w:pPr>
          </w:p>
        </w:tc>
        <w:tc>
          <w:tcPr>
            <w:tcW w:w="3260" w:type="dxa"/>
          </w:tcPr>
          <w:p w14:paraId="1763F5B8" w14:textId="77777777" w:rsidR="00F409AA" w:rsidRPr="000E2AA6" w:rsidRDefault="00F409AA" w:rsidP="00F409AA">
            <w:pPr>
              <w:jc w:val="both"/>
              <w:rPr>
                <w:rFonts w:ascii="Times New Roman" w:hAnsi="Times New Roman" w:cs="Times New Roman"/>
              </w:rPr>
            </w:pPr>
          </w:p>
        </w:tc>
        <w:tc>
          <w:tcPr>
            <w:tcW w:w="1276" w:type="dxa"/>
          </w:tcPr>
          <w:p w14:paraId="70D65E8B"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6AF5FE5E" w14:textId="77777777" w:rsidR="00F409AA" w:rsidRPr="000E2AA6" w:rsidRDefault="00F409AA" w:rsidP="00F409AA">
            <w:pPr>
              <w:jc w:val="both"/>
              <w:rPr>
                <w:rFonts w:ascii="Times New Roman" w:hAnsi="Times New Roman" w:cs="Times New Roman"/>
              </w:rPr>
            </w:pPr>
          </w:p>
        </w:tc>
        <w:tc>
          <w:tcPr>
            <w:tcW w:w="1984" w:type="dxa"/>
          </w:tcPr>
          <w:p w14:paraId="7A2C505C" w14:textId="640F4595" w:rsidR="00F409AA" w:rsidRPr="000E2AA6" w:rsidRDefault="00F409AA" w:rsidP="00F409AA">
            <w:pPr>
              <w:jc w:val="both"/>
              <w:rPr>
                <w:rFonts w:ascii="Times New Roman" w:hAnsi="Times New Roman" w:cs="Times New Roman"/>
              </w:rPr>
            </w:pPr>
            <w:r w:rsidRPr="000E2AA6">
              <w:rPr>
                <w:rFonts w:ascii="Times New Roman" w:hAnsi="Times New Roman" w:cs="Times New Roman"/>
              </w:rPr>
              <w:t>Aplicarea integrală odată cu adoptarea 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1113CF23" w14:textId="77777777" w:rsidR="00F409AA" w:rsidRPr="000E2AA6" w:rsidRDefault="00F409AA" w:rsidP="00F409AA">
            <w:pPr>
              <w:jc w:val="both"/>
              <w:rPr>
                <w:rFonts w:ascii="Times New Roman" w:hAnsi="Times New Roman" w:cs="Times New Roman"/>
              </w:rPr>
            </w:pPr>
          </w:p>
        </w:tc>
      </w:tr>
      <w:tr w:rsidR="00F409AA" w:rsidRPr="000E2AA6" w14:paraId="252BDC68" w14:textId="77777777" w:rsidTr="00BB074A">
        <w:tc>
          <w:tcPr>
            <w:tcW w:w="3114" w:type="dxa"/>
          </w:tcPr>
          <w:p w14:paraId="15F682AE" w14:textId="77777777" w:rsidR="00F409AA" w:rsidRPr="000E2AA6" w:rsidRDefault="00F409AA" w:rsidP="00F409AA">
            <w:pPr>
              <w:pStyle w:val="Default"/>
              <w:rPr>
                <w:rFonts w:ascii="Times New Roman" w:hAnsi="Times New Roman" w:cs="Times New Roman"/>
                <w:b/>
                <w:bCs/>
                <w:sz w:val="22"/>
                <w:szCs w:val="22"/>
              </w:rPr>
            </w:pPr>
            <w:r w:rsidRPr="000E2AA6">
              <w:rPr>
                <w:rFonts w:ascii="Times New Roman" w:hAnsi="Times New Roman" w:cs="Times New Roman"/>
                <w:b/>
                <w:bCs/>
                <w:sz w:val="22"/>
                <w:szCs w:val="22"/>
              </w:rPr>
              <w:t>Orientarea 17</w:t>
            </w:r>
          </w:p>
          <w:p w14:paraId="2D00093B" w14:textId="77777777" w:rsidR="00F409AA" w:rsidRPr="000E2AA6" w:rsidRDefault="00F409AA" w:rsidP="00F409AA">
            <w:pPr>
              <w:pStyle w:val="Default"/>
              <w:rPr>
                <w:rFonts w:ascii="Times New Roman" w:hAnsi="Times New Roman" w:cs="Times New Roman"/>
                <w:color w:val="auto"/>
                <w:sz w:val="22"/>
                <w:szCs w:val="22"/>
              </w:rPr>
            </w:pPr>
            <w:r w:rsidRPr="000E2AA6">
              <w:rPr>
                <w:rFonts w:ascii="Times New Roman" w:hAnsi="Times New Roman" w:cs="Times New Roman"/>
                <w:sz w:val="22"/>
                <w:szCs w:val="22"/>
              </w:rPr>
              <w:lastRenderedPageBreak/>
              <w:t xml:space="preserve">1.33. În conformitate cu Orientarea 5 privind înregistrarea fiecărei evaluări ORSA, întreprinderea de asigurare sau reasigurare participantă, societatea holding de </w:t>
            </w:r>
            <w:r w:rsidRPr="000E2AA6">
              <w:rPr>
                <w:rFonts w:ascii="Times New Roman" w:hAnsi="Times New Roman" w:cs="Times New Roman"/>
                <w:color w:val="auto"/>
                <w:sz w:val="22"/>
                <w:szCs w:val="22"/>
              </w:rPr>
              <w:t xml:space="preserve">asigurare sau societatea holding financiară mixtă ar trebui să includă în evaluarea ORSA a grupului cel puțin o descriere a modului în care au fost luați în considerare următorii factori pentru evaluarea nevoilor globale de solvabilitate: </w:t>
            </w:r>
          </w:p>
          <w:p w14:paraId="756EE2DD" w14:textId="77777777" w:rsidR="00F409AA" w:rsidRPr="000E2AA6" w:rsidRDefault="00F409AA" w:rsidP="00BB074A">
            <w:pPr>
              <w:pStyle w:val="Default"/>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a) identificarea surselor de capital posibile din cadrul grupului și identificarea eventualelor nevoi de capital suplimentar; </w:t>
            </w:r>
          </w:p>
          <w:p w14:paraId="3A022E99" w14:textId="77777777" w:rsidR="00F409AA" w:rsidRPr="000E2AA6" w:rsidRDefault="00F409AA" w:rsidP="00BB074A">
            <w:pPr>
              <w:pStyle w:val="Default"/>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b) evaluarea disponibilității, transferabilității sau fungibilității capitalului; </w:t>
            </w:r>
          </w:p>
          <w:p w14:paraId="00C2763B" w14:textId="77777777" w:rsidR="00F409AA" w:rsidRPr="000E2AA6" w:rsidRDefault="00F409AA" w:rsidP="00BB074A">
            <w:pPr>
              <w:pStyle w:val="Default"/>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c) trimiteri la orice transfer de capital care se intenționează a fi efectuat în interiorul grupului și care ar putea avea un impact semnificativ asupra oricărei entități a grupului, precum și consecințele acestuia; </w:t>
            </w:r>
          </w:p>
          <w:p w14:paraId="3F3E7652" w14:textId="77777777" w:rsidR="00F409AA" w:rsidRPr="000E2AA6" w:rsidRDefault="00F409AA" w:rsidP="00BB074A">
            <w:pPr>
              <w:pStyle w:val="Default"/>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d) alinierea strategiilor individuale la cele stabilite la nivelul grupului; </w:t>
            </w:r>
          </w:p>
          <w:p w14:paraId="5A4E0D2B" w14:textId="77777777" w:rsidR="00F409AA" w:rsidRPr="000E2AA6" w:rsidRDefault="00F409AA" w:rsidP="00F409AA">
            <w:pPr>
              <w:pStyle w:val="Default"/>
              <w:rPr>
                <w:rFonts w:ascii="Times New Roman" w:hAnsi="Times New Roman" w:cs="Times New Roman"/>
                <w:color w:val="auto"/>
                <w:sz w:val="22"/>
                <w:szCs w:val="22"/>
              </w:rPr>
            </w:pPr>
            <w:r w:rsidRPr="000E2AA6">
              <w:rPr>
                <w:rFonts w:ascii="Times New Roman" w:hAnsi="Times New Roman" w:cs="Times New Roman"/>
                <w:color w:val="auto"/>
                <w:sz w:val="22"/>
                <w:szCs w:val="22"/>
              </w:rPr>
              <w:t xml:space="preserve">e) riscurile specifice la care grupul ar putea fi expus. </w:t>
            </w:r>
          </w:p>
          <w:p w14:paraId="7F5C06B4" w14:textId="77777777" w:rsidR="00F409AA" w:rsidRPr="000E2AA6" w:rsidRDefault="00F409AA" w:rsidP="00F409AA">
            <w:pPr>
              <w:pStyle w:val="Default"/>
              <w:rPr>
                <w:rFonts w:ascii="Times New Roman" w:hAnsi="Times New Roman" w:cs="Times New Roman"/>
                <w:b/>
                <w:bCs/>
                <w:sz w:val="22"/>
                <w:szCs w:val="22"/>
              </w:rPr>
            </w:pPr>
          </w:p>
        </w:tc>
        <w:tc>
          <w:tcPr>
            <w:tcW w:w="3260" w:type="dxa"/>
          </w:tcPr>
          <w:p w14:paraId="087A30AA" w14:textId="77777777" w:rsidR="00F409AA" w:rsidRPr="000E2AA6" w:rsidRDefault="00F409AA" w:rsidP="00F409AA">
            <w:pPr>
              <w:jc w:val="both"/>
              <w:rPr>
                <w:rFonts w:ascii="Times New Roman" w:hAnsi="Times New Roman" w:cs="Times New Roman"/>
              </w:rPr>
            </w:pPr>
          </w:p>
        </w:tc>
        <w:tc>
          <w:tcPr>
            <w:tcW w:w="1276" w:type="dxa"/>
          </w:tcPr>
          <w:p w14:paraId="52A9943E"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4EA8E7FD" w14:textId="77777777" w:rsidR="00F409AA" w:rsidRPr="000E2AA6" w:rsidRDefault="00F409AA" w:rsidP="00F409AA">
            <w:pPr>
              <w:jc w:val="both"/>
              <w:rPr>
                <w:rFonts w:ascii="Times New Roman" w:hAnsi="Times New Roman" w:cs="Times New Roman"/>
              </w:rPr>
            </w:pPr>
          </w:p>
        </w:tc>
        <w:tc>
          <w:tcPr>
            <w:tcW w:w="1984" w:type="dxa"/>
          </w:tcPr>
          <w:p w14:paraId="40D8AA1B" w14:textId="7DDAE573"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Aplicarea integrală odată cu adoptarea </w:t>
            </w:r>
            <w:r w:rsidRPr="000E2AA6">
              <w:rPr>
                <w:rFonts w:ascii="Times New Roman" w:hAnsi="Times New Roman" w:cs="Times New Roman"/>
              </w:rPr>
              <w:lastRenderedPageBreak/>
              <w:t>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53029570" w14:textId="77777777" w:rsidR="00F409AA" w:rsidRPr="000E2AA6" w:rsidRDefault="00F409AA" w:rsidP="00F409AA">
            <w:pPr>
              <w:jc w:val="both"/>
              <w:rPr>
                <w:rFonts w:ascii="Times New Roman" w:hAnsi="Times New Roman" w:cs="Times New Roman"/>
              </w:rPr>
            </w:pPr>
          </w:p>
        </w:tc>
      </w:tr>
      <w:tr w:rsidR="00F409AA" w:rsidRPr="000E2AA6" w14:paraId="419ACD16" w14:textId="77777777" w:rsidTr="00BB074A">
        <w:tc>
          <w:tcPr>
            <w:tcW w:w="3114" w:type="dxa"/>
          </w:tcPr>
          <w:p w14:paraId="1EB338C8"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
                <w:bCs/>
                <w:sz w:val="22"/>
                <w:szCs w:val="22"/>
              </w:rPr>
              <w:t>Orientarea 18 -</w:t>
            </w:r>
            <w:r w:rsidRPr="000E2AA6">
              <w:rPr>
                <w:rFonts w:ascii="Times New Roman" w:hAnsi="Times New Roman" w:cs="Times New Roman"/>
                <w:bCs/>
                <w:sz w:val="22"/>
                <w:szCs w:val="22"/>
              </w:rPr>
              <w:t xml:space="preserve"> Particularitățile grupului în funcție de respectarea în mod continuu a cerințelor </w:t>
            </w:r>
            <w:r w:rsidRPr="000E2AA6">
              <w:rPr>
                <w:rFonts w:ascii="Times New Roman" w:hAnsi="Times New Roman" w:cs="Times New Roman"/>
                <w:bCs/>
                <w:sz w:val="22"/>
                <w:szCs w:val="22"/>
              </w:rPr>
              <w:lastRenderedPageBreak/>
              <w:t>reglementare în materie de capital</w:t>
            </w:r>
          </w:p>
          <w:p w14:paraId="5C961092"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1.34. În conformitate cu Orientarea 5 privind înregistrarea fiecărei evaluări ORSA, întreprinderea de asigurare sau reasigurare participantă, societatea holding de asigurare sau societatea holding financiară mixtă ar trebui să includă în înregistrarea evaluării ORSA a grupului cel puțin o descriere a modului în care au fost luați în considerare următorii factori pentru evaluarea respectării în mod continuu a cerințelor reglementare:</w:t>
            </w:r>
          </w:p>
          <w:p w14:paraId="0406888F"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a) identificarea surselor de fonduri proprii în interiorul grupului şi dacă este cazul să fie nevoie de fonduri proprii suplimentare;</w:t>
            </w:r>
          </w:p>
          <w:p w14:paraId="09B18F6C"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b) evaluarea disponibilității, transferabilității sau fungibilității fondurilor proprii;</w:t>
            </w:r>
          </w:p>
          <w:p w14:paraId="7BD7E1EC"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c) trimiteri la orice transfer de fonduri proprii care se intenționează a fi efectuat în interiorul grupului și care ar putea avea un impact semnificativ asupra oricărei entități a grupului, precum și consecințele acestuia;</w:t>
            </w:r>
          </w:p>
          <w:p w14:paraId="240303B6"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d) alinierea strategiilor individuale la cele stabilite la nivelul grupului;</w:t>
            </w:r>
          </w:p>
          <w:p w14:paraId="22B22307"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e) riscurile specifice la care grupul ar putea fi expus.</w:t>
            </w:r>
          </w:p>
        </w:tc>
        <w:tc>
          <w:tcPr>
            <w:tcW w:w="3260" w:type="dxa"/>
          </w:tcPr>
          <w:p w14:paraId="26F68914" w14:textId="77777777" w:rsidR="00F409AA" w:rsidRPr="000E2AA6" w:rsidRDefault="00F409AA" w:rsidP="00F409AA">
            <w:pPr>
              <w:jc w:val="both"/>
              <w:rPr>
                <w:rFonts w:ascii="Times New Roman" w:hAnsi="Times New Roman" w:cs="Times New Roman"/>
              </w:rPr>
            </w:pPr>
          </w:p>
        </w:tc>
        <w:tc>
          <w:tcPr>
            <w:tcW w:w="1276" w:type="dxa"/>
          </w:tcPr>
          <w:p w14:paraId="5AF58D52"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193B6074" w14:textId="77777777" w:rsidR="00F409AA" w:rsidRPr="000E2AA6" w:rsidRDefault="00F409AA" w:rsidP="00F409AA">
            <w:pPr>
              <w:jc w:val="both"/>
              <w:rPr>
                <w:rFonts w:ascii="Times New Roman" w:hAnsi="Times New Roman" w:cs="Times New Roman"/>
              </w:rPr>
            </w:pPr>
          </w:p>
        </w:tc>
        <w:tc>
          <w:tcPr>
            <w:tcW w:w="1984" w:type="dxa"/>
          </w:tcPr>
          <w:p w14:paraId="15EFF791" w14:textId="383F3248"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Aplicarea integrală odată cu adoptarea legii noi ce va transpune Directiva </w:t>
            </w:r>
            <w:r w:rsidRPr="000E2AA6">
              <w:rPr>
                <w:rFonts w:ascii="Times New Roman" w:hAnsi="Times New Roman" w:cs="Times New Roman"/>
              </w:rPr>
              <w:lastRenderedPageBreak/>
              <w:t>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31F93CB6" w14:textId="77777777" w:rsidR="00F409AA" w:rsidRPr="000E2AA6" w:rsidRDefault="00F409AA" w:rsidP="00F409AA">
            <w:pPr>
              <w:jc w:val="both"/>
              <w:rPr>
                <w:rFonts w:ascii="Times New Roman" w:hAnsi="Times New Roman" w:cs="Times New Roman"/>
              </w:rPr>
            </w:pPr>
          </w:p>
        </w:tc>
      </w:tr>
      <w:tr w:rsidR="00F409AA" w:rsidRPr="000E2AA6" w14:paraId="63C34C92" w14:textId="77777777" w:rsidTr="00BB074A">
        <w:tc>
          <w:tcPr>
            <w:tcW w:w="3114" w:type="dxa"/>
          </w:tcPr>
          <w:p w14:paraId="6ABA9CF5"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
                <w:bCs/>
                <w:sz w:val="22"/>
                <w:szCs w:val="22"/>
              </w:rPr>
              <w:lastRenderedPageBreak/>
              <w:t xml:space="preserve">Orientarea 19 – </w:t>
            </w:r>
            <w:r w:rsidRPr="000E2AA6">
              <w:rPr>
                <w:rFonts w:ascii="Times New Roman" w:hAnsi="Times New Roman" w:cs="Times New Roman"/>
                <w:bCs/>
                <w:sz w:val="22"/>
                <w:szCs w:val="22"/>
              </w:rPr>
              <w:t>Cerințe specifice privind evaluarea ORSA</w:t>
            </w:r>
          </w:p>
          <w:p w14:paraId="14244649"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1.35. În cazul solicitării de efectuare a evaluării ORSA în conformitate cu articolul 246 alineatul (4) al treilea paragraf din Solvabilitate II, întreprinderea de asigurare sau reasigurare participantă, societatea holding de asigurare sau societatea holding financiară mixtă ar trebui să pună la dispoziția supraveghetorului grupului:</w:t>
            </w:r>
          </w:p>
          <w:p w14:paraId="4EA92BD8"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a) o listă cu întreprinderile pentru care documentul ORSA unic, care cuprinde motivul alegerii făcute, include evaluările individuale prevăzute la articolul 45 din Solvabilitate II;</w:t>
            </w:r>
          </w:p>
          <w:p w14:paraId="4B03E8B1"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b) o descriere a modului în care cerințele de guvernare sunt respectate la nivelul acestor întreprinderi și, în mod special, a modului în care OACS</w:t>
            </w:r>
          </w:p>
          <w:p w14:paraId="7002A55D"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(organele administrative, de management și supraveghere) ale filialelor sunt implicate în procesul de evaluare și în aprobarea rezultatului;</w:t>
            </w:r>
          </w:p>
          <w:p w14:paraId="308EE389"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c) o descriere a modului în care este organizat documentul ORSA unic pentru a permite supraveghetorului grupului să separe evaluările individuale pentru ceilalți supraveghetori din colegiu;</w:t>
            </w:r>
          </w:p>
          <w:p w14:paraId="74BBD742"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 xml:space="preserve">d) acolo unde este nevoie, o mențiune specifică referitoare la </w:t>
            </w:r>
            <w:r w:rsidRPr="000E2AA6">
              <w:rPr>
                <w:rFonts w:ascii="Times New Roman" w:hAnsi="Times New Roman" w:cs="Times New Roman"/>
                <w:bCs/>
                <w:sz w:val="22"/>
                <w:szCs w:val="22"/>
              </w:rPr>
              <w:lastRenderedPageBreak/>
              <w:t>traducerile necesare, cu atenție specială acordată termenului și conținutului.</w:t>
            </w:r>
          </w:p>
        </w:tc>
        <w:tc>
          <w:tcPr>
            <w:tcW w:w="3260" w:type="dxa"/>
          </w:tcPr>
          <w:p w14:paraId="653DECAB" w14:textId="77777777" w:rsidR="00F409AA" w:rsidRPr="000E2AA6" w:rsidRDefault="00F409AA" w:rsidP="00F409AA">
            <w:pPr>
              <w:jc w:val="both"/>
              <w:rPr>
                <w:rFonts w:ascii="Times New Roman" w:hAnsi="Times New Roman" w:cs="Times New Roman"/>
              </w:rPr>
            </w:pPr>
          </w:p>
        </w:tc>
        <w:tc>
          <w:tcPr>
            <w:tcW w:w="1276" w:type="dxa"/>
          </w:tcPr>
          <w:p w14:paraId="13AD5954"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7C48B2FE" w14:textId="77777777" w:rsidR="00F409AA" w:rsidRPr="000E2AA6" w:rsidRDefault="00F409AA" w:rsidP="00F409AA">
            <w:pPr>
              <w:jc w:val="both"/>
              <w:rPr>
                <w:rFonts w:ascii="Times New Roman" w:hAnsi="Times New Roman" w:cs="Times New Roman"/>
              </w:rPr>
            </w:pPr>
          </w:p>
        </w:tc>
        <w:tc>
          <w:tcPr>
            <w:tcW w:w="1984" w:type="dxa"/>
          </w:tcPr>
          <w:p w14:paraId="0C07C56B" w14:textId="3CE0DCA3" w:rsidR="00F409AA" w:rsidRPr="000E2AA6" w:rsidRDefault="00F409AA" w:rsidP="00F409AA">
            <w:pPr>
              <w:jc w:val="both"/>
              <w:rPr>
                <w:rFonts w:ascii="Times New Roman" w:hAnsi="Times New Roman" w:cs="Times New Roman"/>
              </w:rPr>
            </w:pPr>
            <w:r w:rsidRPr="000E2AA6">
              <w:rPr>
                <w:rFonts w:ascii="Times New Roman" w:hAnsi="Times New Roman" w:cs="Times New Roman"/>
              </w:rPr>
              <w:t>Aplicarea integrală odată cu adoptarea 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212D5930" w14:textId="77777777" w:rsidR="00F409AA" w:rsidRPr="000E2AA6" w:rsidRDefault="00F409AA" w:rsidP="00F409AA">
            <w:pPr>
              <w:jc w:val="both"/>
              <w:rPr>
                <w:rFonts w:ascii="Times New Roman" w:hAnsi="Times New Roman" w:cs="Times New Roman"/>
              </w:rPr>
            </w:pPr>
          </w:p>
        </w:tc>
      </w:tr>
      <w:tr w:rsidR="00F409AA" w:rsidRPr="000E2AA6" w14:paraId="0F652440" w14:textId="77777777" w:rsidTr="00BB074A">
        <w:tc>
          <w:tcPr>
            <w:tcW w:w="3114" w:type="dxa"/>
          </w:tcPr>
          <w:p w14:paraId="565D577A"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
                <w:bCs/>
                <w:sz w:val="22"/>
                <w:szCs w:val="22"/>
              </w:rPr>
              <w:t>Orientarea 20</w:t>
            </w:r>
            <w:r w:rsidRPr="000E2AA6">
              <w:rPr>
                <w:rFonts w:ascii="Times New Roman" w:hAnsi="Times New Roman" w:cs="Times New Roman"/>
                <w:bCs/>
                <w:sz w:val="22"/>
                <w:szCs w:val="22"/>
              </w:rPr>
              <w:t xml:space="preserve"> – Integrarea întreprinderilor de asigurare și de reasigurare afiliate din țările terțe</w:t>
            </w:r>
          </w:p>
          <w:p w14:paraId="55F1C660"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1.36. La evaluarea nevoilor globale de solvabilitate ale grupului, întreprinderea de asigurare sau reasigurare participantă, societatea holding de asigurare sau societatea holding financiară mixtă ar trebui să includă riscurile activității în țările terțe în mod consecvent, la fel cum o face pentru activitatea din Spațiul Economic European, acordând o atenție specială evaluării transferabilității și fungibilității capitalului.</w:t>
            </w:r>
          </w:p>
        </w:tc>
        <w:tc>
          <w:tcPr>
            <w:tcW w:w="3260" w:type="dxa"/>
          </w:tcPr>
          <w:p w14:paraId="37542FA9" w14:textId="77777777" w:rsidR="00F409AA" w:rsidRPr="000E2AA6" w:rsidRDefault="00F409AA" w:rsidP="00F409AA">
            <w:pPr>
              <w:jc w:val="both"/>
              <w:rPr>
                <w:rFonts w:ascii="Times New Roman" w:hAnsi="Times New Roman" w:cs="Times New Roman"/>
              </w:rPr>
            </w:pPr>
          </w:p>
        </w:tc>
        <w:tc>
          <w:tcPr>
            <w:tcW w:w="1276" w:type="dxa"/>
          </w:tcPr>
          <w:p w14:paraId="33B5379E"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4A237E57" w14:textId="77777777" w:rsidR="00F409AA" w:rsidRPr="000E2AA6" w:rsidRDefault="00F409AA" w:rsidP="00F409AA">
            <w:pPr>
              <w:jc w:val="both"/>
              <w:rPr>
                <w:rFonts w:ascii="Times New Roman" w:hAnsi="Times New Roman" w:cs="Times New Roman"/>
              </w:rPr>
            </w:pPr>
          </w:p>
        </w:tc>
        <w:tc>
          <w:tcPr>
            <w:tcW w:w="1984" w:type="dxa"/>
          </w:tcPr>
          <w:p w14:paraId="4EB2B68E" w14:textId="288A83B7" w:rsidR="00F409AA" w:rsidRPr="000E2AA6" w:rsidRDefault="00F409AA" w:rsidP="00F409AA">
            <w:pPr>
              <w:jc w:val="both"/>
              <w:rPr>
                <w:rFonts w:ascii="Times New Roman" w:hAnsi="Times New Roman" w:cs="Times New Roman"/>
              </w:rPr>
            </w:pPr>
            <w:r w:rsidRPr="000E2AA6">
              <w:rPr>
                <w:rFonts w:ascii="Times New Roman" w:hAnsi="Times New Roman" w:cs="Times New Roman"/>
              </w:rPr>
              <w:t>Aplicarea integrală odată cu adoptarea 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39125574" w14:textId="77777777" w:rsidR="00F409AA" w:rsidRPr="000E2AA6" w:rsidRDefault="00F409AA" w:rsidP="00F409AA">
            <w:pPr>
              <w:jc w:val="both"/>
              <w:rPr>
                <w:rFonts w:ascii="Times New Roman" w:hAnsi="Times New Roman" w:cs="Times New Roman"/>
              </w:rPr>
            </w:pPr>
          </w:p>
        </w:tc>
      </w:tr>
      <w:tr w:rsidR="00F409AA" w:rsidRPr="000E2AA6" w14:paraId="40E90467" w14:textId="77777777" w:rsidTr="00BB074A">
        <w:tc>
          <w:tcPr>
            <w:tcW w:w="3114" w:type="dxa"/>
          </w:tcPr>
          <w:p w14:paraId="362C6E50"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Norme privind conformitatea şi raportarea</w:t>
            </w:r>
          </w:p>
          <w:p w14:paraId="6190BC57"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1.37. Acest document conține orientări emise în conformitate cu articolul 16 din Regulamentul EIOPA. În conformitate cu articolul 16 alineatul (3) din Regulamentul EIOPA, autoritățile competente și instituțiile financiare depun toate eforturile pentru a respecta ghidul și recomandările.</w:t>
            </w:r>
          </w:p>
          <w:p w14:paraId="0896482D"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 xml:space="preserve">1.38. Autoritățile competente care respectă sau intenționează să respecte acest ghid trebuie să îl integreze în mod adecvat în cadrul lor de reglementare sau de </w:t>
            </w:r>
            <w:proofErr w:type="gramStart"/>
            <w:r w:rsidRPr="000E2AA6">
              <w:rPr>
                <w:rFonts w:ascii="Times New Roman" w:hAnsi="Times New Roman" w:cs="Times New Roman"/>
                <w:bCs/>
                <w:sz w:val="22"/>
                <w:szCs w:val="22"/>
              </w:rPr>
              <w:t>supraveghere .</w:t>
            </w:r>
            <w:proofErr w:type="gramEnd"/>
          </w:p>
          <w:p w14:paraId="085B8F69"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lastRenderedPageBreak/>
              <w:t xml:space="preserve">1.39. Autoritățile competente transmit către EIOPA confirmarea respectării sau </w:t>
            </w:r>
            <w:proofErr w:type="gramStart"/>
            <w:r w:rsidRPr="000E2AA6">
              <w:rPr>
                <w:rFonts w:ascii="Times New Roman" w:hAnsi="Times New Roman" w:cs="Times New Roman"/>
                <w:bCs/>
                <w:sz w:val="22"/>
                <w:szCs w:val="22"/>
              </w:rPr>
              <w:t>a</w:t>
            </w:r>
            <w:proofErr w:type="gramEnd"/>
            <w:r w:rsidRPr="000E2AA6">
              <w:rPr>
                <w:rFonts w:ascii="Times New Roman" w:hAnsi="Times New Roman" w:cs="Times New Roman"/>
                <w:bCs/>
                <w:sz w:val="22"/>
                <w:szCs w:val="22"/>
              </w:rPr>
              <w:t xml:space="preserve"> intenției de a respecta prezentul ghid, expunând motivele neconformității, în termen de două luni de la publicarea versiunilor traduse.</w:t>
            </w:r>
          </w:p>
          <w:p w14:paraId="3B99774D"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1.40. În lipsa unui răspuns până la împlinirea acestui termen, se va considera că autoritățile competente nu respectă cerințele de raportare și se vor raporta ca atare.</w:t>
            </w:r>
          </w:p>
        </w:tc>
        <w:tc>
          <w:tcPr>
            <w:tcW w:w="3260" w:type="dxa"/>
          </w:tcPr>
          <w:p w14:paraId="09829BBE" w14:textId="77777777" w:rsidR="00F409AA" w:rsidRPr="000E2AA6" w:rsidRDefault="00F409AA" w:rsidP="00F409AA">
            <w:pPr>
              <w:jc w:val="both"/>
              <w:rPr>
                <w:rFonts w:ascii="Times New Roman" w:hAnsi="Times New Roman" w:cs="Times New Roman"/>
              </w:rPr>
            </w:pPr>
          </w:p>
        </w:tc>
        <w:tc>
          <w:tcPr>
            <w:tcW w:w="1276" w:type="dxa"/>
          </w:tcPr>
          <w:p w14:paraId="729D8889"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208BD8AC" w14:textId="77777777" w:rsidR="00F409AA" w:rsidRPr="000E2AA6" w:rsidRDefault="00F409AA" w:rsidP="00F409AA">
            <w:pPr>
              <w:jc w:val="both"/>
              <w:rPr>
                <w:rFonts w:ascii="Times New Roman" w:hAnsi="Times New Roman" w:cs="Times New Roman"/>
              </w:rPr>
            </w:pPr>
          </w:p>
        </w:tc>
        <w:tc>
          <w:tcPr>
            <w:tcW w:w="1984" w:type="dxa"/>
          </w:tcPr>
          <w:p w14:paraId="3003FD5A" w14:textId="2EB827C0" w:rsidR="00F409AA" w:rsidRPr="000E2AA6" w:rsidRDefault="00F409AA" w:rsidP="00F409AA">
            <w:pPr>
              <w:jc w:val="both"/>
              <w:rPr>
                <w:rFonts w:ascii="Times New Roman" w:hAnsi="Times New Roman" w:cs="Times New Roman"/>
              </w:rPr>
            </w:pPr>
            <w:r w:rsidRPr="000E2AA6">
              <w:rPr>
                <w:rFonts w:ascii="Times New Roman" w:hAnsi="Times New Roman" w:cs="Times New Roman"/>
              </w:rPr>
              <w:t>Aplicarea integrală odată cu adoptarea 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241B2862" w14:textId="77777777" w:rsidR="00F409AA" w:rsidRPr="000E2AA6" w:rsidRDefault="00F409AA" w:rsidP="00F409AA">
            <w:pPr>
              <w:jc w:val="both"/>
              <w:rPr>
                <w:rFonts w:ascii="Times New Roman" w:hAnsi="Times New Roman" w:cs="Times New Roman"/>
              </w:rPr>
            </w:pPr>
          </w:p>
        </w:tc>
      </w:tr>
      <w:tr w:rsidR="00F409AA" w:rsidRPr="000E2AA6" w14:paraId="177DC38B" w14:textId="77777777" w:rsidTr="00BB074A">
        <w:tc>
          <w:tcPr>
            <w:tcW w:w="3114" w:type="dxa"/>
          </w:tcPr>
          <w:p w14:paraId="465AC43A"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Dispoziții finale referitoare la revizuiri</w:t>
            </w:r>
          </w:p>
          <w:p w14:paraId="2326B2A0" w14:textId="77777777" w:rsidR="00F409AA" w:rsidRPr="000E2AA6" w:rsidRDefault="00F409AA" w:rsidP="00F409AA">
            <w:pPr>
              <w:pStyle w:val="Default"/>
              <w:jc w:val="both"/>
              <w:rPr>
                <w:rFonts w:ascii="Times New Roman" w:hAnsi="Times New Roman" w:cs="Times New Roman"/>
                <w:bCs/>
                <w:sz w:val="22"/>
                <w:szCs w:val="22"/>
              </w:rPr>
            </w:pPr>
            <w:r w:rsidRPr="000E2AA6">
              <w:rPr>
                <w:rFonts w:ascii="Times New Roman" w:hAnsi="Times New Roman" w:cs="Times New Roman"/>
                <w:bCs/>
                <w:sz w:val="22"/>
                <w:szCs w:val="22"/>
              </w:rPr>
              <w:t>1.41. Prezentul ghid va fi supus revizuirii EIOPA.</w:t>
            </w:r>
          </w:p>
        </w:tc>
        <w:tc>
          <w:tcPr>
            <w:tcW w:w="3260" w:type="dxa"/>
          </w:tcPr>
          <w:p w14:paraId="1E9F5787" w14:textId="77777777" w:rsidR="00F409AA" w:rsidRPr="000E2AA6" w:rsidRDefault="00F409AA" w:rsidP="00F409AA">
            <w:pPr>
              <w:jc w:val="both"/>
              <w:rPr>
                <w:rFonts w:ascii="Times New Roman" w:hAnsi="Times New Roman" w:cs="Times New Roman"/>
              </w:rPr>
            </w:pPr>
          </w:p>
        </w:tc>
        <w:tc>
          <w:tcPr>
            <w:tcW w:w="1276" w:type="dxa"/>
          </w:tcPr>
          <w:p w14:paraId="61EDA0BF" w14:textId="77777777" w:rsidR="00F409AA" w:rsidRPr="000E2AA6" w:rsidRDefault="00F409AA" w:rsidP="00F409AA">
            <w:pPr>
              <w:jc w:val="both"/>
              <w:rPr>
                <w:rFonts w:ascii="Times New Roman" w:hAnsi="Times New Roman" w:cs="Times New Roman"/>
              </w:rPr>
            </w:pPr>
            <w:r w:rsidRPr="000E2AA6">
              <w:rPr>
                <w:rFonts w:ascii="Times New Roman" w:hAnsi="Times New Roman" w:cs="Times New Roman"/>
              </w:rPr>
              <w:t xml:space="preserve">Incompatibil </w:t>
            </w:r>
          </w:p>
        </w:tc>
        <w:tc>
          <w:tcPr>
            <w:tcW w:w="2410" w:type="dxa"/>
          </w:tcPr>
          <w:p w14:paraId="743C9CE5" w14:textId="77777777" w:rsidR="00F409AA" w:rsidRPr="000E2AA6" w:rsidRDefault="00F409AA" w:rsidP="00F409AA">
            <w:pPr>
              <w:jc w:val="both"/>
              <w:rPr>
                <w:rFonts w:ascii="Times New Roman" w:hAnsi="Times New Roman" w:cs="Times New Roman"/>
              </w:rPr>
            </w:pPr>
          </w:p>
        </w:tc>
        <w:tc>
          <w:tcPr>
            <w:tcW w:w="1984" w:type="dxa"/>
          </w:tcPr>
          <w:p w14:paraId="545BF167" w14:textId="6C3C4DB6" w:rsidR="00F409AA" w:rsidRPr="000E2AA6" w:rsidRDefault="00F409AA" w:rsidP="00F409AA">
            <w:pPr>
              <w:jc w:val="both"/>
              <w:rPr>
                <w:rFonts w:ascii="Times New Roman" w:hAnsi="Times New Roman" w:cs="Times New Roman"/>
              </w:rPr>
            </w:pPr>
            <w:r w:rsidRPr="000E2AA6">
              <w:rPr>
                <w:rFonts w:ascii="Times New Roman" w:hAnsi="Times New Roman" w:cs="Times New Roman"/>
              </w:rPr>
              <w:t>Aplicarea integrală odată cu adoptarea legii noi ce va transpune Directiva 2009/138 (</w:t>
            </w:r>
            <w:r w:rsidR="00BB074A">
              <w:rPr>
                <w:rFonts w:ascii="Times New Roman" w:hAnsi="Times New Roman" w:cs="Times New Roman"/>
              </w:rPr>
              <w:t xml:space="preserve">preconizat - </w:t>
            </w:r>
            <w:r w:rsidRPr="000E2AA6">
              <w:rPr>
                <w:rFonts w:ascii="Times New Roman" w:hAnsi="Times New Roman" w:cs="Times New Roman"/>
              </w:rPr>
              <w:t>martie 2026)</w:t>
            </w:r>
          </w:p>
        </w:tc>
        <w:tc>
          <w:tcPr>
            <w:tcW w:w="1418" w:type="dxa"/>
          </w:tcPr>
          <w:p w14:paraId="6648F221" w14:textId="77777777" w:rsidR="00F409AA" w:rsidRPr="000E2AA6" w:rsidRDefault="00F409AA" w:rsidP="00F409AA">
            <w:pPr>
              <w:jc w:val="both"/>
              <w:rPr>
                <w:rFonts w:ascii="Times New Roman" w:hAnsi="Times New Roman" w:cs="Times New Roman"/>
              </w:rPr>
            </w:pPr>
          </w:p>
        </w:tc>
      </w:tr>
    </w:tbl>
    <w:p w14:paraId="38478652" w14:textId="77777777" w:rsidR="00B279A0" w:rsidRPr="000E2AA6" w:rsidRDefault="00B279A0">
      <w:pPr>
        <w:rPr>
          <w:rFonts w:ascii="Times New Roman" w:hAnsi="Times New Roman" w:cs="Times New Roman"/>
        </w:rPr>
      </w:pPr>
    </w:p>
    <w:sectPr w:rsidR="00B279A0" w:rsidRPr="000E2AA6" w:rsidSect="00B279A0">
      <w:headerReference w:type="even" r:id="rId7"/>
      <w:headerReference w:type="default" r:id="rId8"/>
      <w:footerReference w:type="even" r:id="rId9"/>
      <w:footerReference w:type="default" r:id="rId10"/>
      <w:headerReference w:type="first" r:id="rId11"/>
      <w:footerReference w:type="first" r:id="rId12"/>
      <w:pgSz w:w="15840" w:h="12240"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0B4FE" w14:textId="77777777" w:rsidR="00CE3DB4" w:rsidRDefault="00CE3DB4" w:rsidP="00DC3BA0">
      <w:pPr>
        <w:spacing w:after="0" w:line="240" w:lineRule="auto"/>
      </w:pPr>
      <w:r>
        <w:separator/>
      </w:r>
    </w:p>
  </w:endnote>
  <w:endnote w:type="continuationSeparator" w:id="0">
    <w:p w14:paraId="2AC806EF" w14:textId="77777777" w:rsidR="00CE3DB4" w:rsidRDefault="00CE3DB4" w:rsidP="00DC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1602A" w14:textId="77777777" w:rsidR="00DC3BA0" w:rsidRDefault="00DC3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4C08" w14:textId="77777777" w:rsidR="00DC3BA0" w:rsidRDefault="00DC3BA0" w:rsidP="00DC3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F16E" w14:textId="77777777" w:rsidR="00DC3BA0" w:rsidRDefault="00DC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1ABF2" w14:textId="77777777" w:rsidR="00CE3DB4" w:rsidRDefault="00CE3DB4" w:rsidP="00DC3BA0">
      <w:pPr>
        <w:spacing w:after="0" w:line="240" w:lineRule="auto"/>
      </w:pPr>
      <w:r>
        <w:separator/>
      </w:r>
    </w:p>
  </w:footnote>
  <w:footnote w:type="continuationSeparator" w:id="0">
    <w:p w14:paraId="059488C1" w14:textId="77777777" w:rsidR="00CE3DB4" w:rsidRDefault="00CE3DB4" w:rsidP="00DC3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C842" w14:textId="77777777" w:rsidR="00DC3BA0" w:rsidRDefault="00DC3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9229" w14:textId="77777777" w:rsidR="00DC3BA0" w:rsidRDefault="00DC3BA0" w:rsidP="00DC3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7F28" w14:textId="77777777" w:rsidR="00DC3BA0" w:rsidRDefault="00DC3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831A4"/>
    <w:multiLevelType w:val="hybridMultilevel"/>
    <w:tmpl w:val="BA84DB10"/>
    <w:lvl w:ilvl="0" w:tplc="0418000F">
      <w:start w:val="1"/>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88"/>
    <w:rsid w:val="000038B9"/>
    <w:rsid w:val="00017027"/>
    <w:rsid w:val="000220EF"/>
    <w:rsid w:val="00033E88"/>
    <w:rsid w:val="0003703F"/>
    <w:rsid w:val="0006289E"/>
    <w:rsid w:val="000A0225"/>
    <w:rsid w:val="000C0CDB"/>
    <w:rsid w:val="000E2AA6"/>
    <w:rsid w:val="000F3332"/>
    <w:rsid w:val="00103788"/>
    <w:rsid w:val="00111BD9"/>
    <w:rsid w:val="00131947"/>
    <w:rsid w:val="00141B83"/>
    <w:rsid w:val="00146993"/>
    <w:rsid w:val="00164863"/>
    <w:rsid w:val="0018001E"/>
    <w:rsid w:val="001C0712"/>
    <w:rsid w:val="001D2B2E"/>
    <w:rsid w:val="001D4370"/>
    <w:rsid w:val="00224577"/>
    <w:rsid w:val="00231541"/>
    <w:rsid w:val="0028227C"/>
    <w:rsid w:val="002844ED"/>
    <w:rsid w:val="002B09A2"/>
    <w:rsid w:val="002B2972"/>
    <w:rsid w:val="002D1457"/>
    <w:rsid w:val="002D764F"/>
    <w:rsid w:val="002F3AD0"/>
    <w:rsid w:val="00302D0D"/>
    <w:rsid w:val="00326629"/>
    <w:rsid w:val="003701CB"/>
    <w:rsid w:val="00391AAF"/>
    <w:rsid w:val="003A3352"/>
    <w:rsid w:val="003A3A56"/>
    <w:rsid w:val="003C28A7"/>
    <w:rsid w:val="003C637B"/>
    <w:rsid w:val="003E37CE"/>
    <w:rsid w:val="003E5885"/>
    <w:rsid w:val="003E68C4"/>
    <w:rsid w:val="00426285"/>
    <w:rsid w:val="00447125"/>
    <w:rsid w:val="00460584"/>
    <w:rsid w:val="00463957"/>
    <w:rsid w:val="0046587B"/>
    <w:rsid w:val="00476E8D"/>
    <w:rsid w:val="00480D80"/>
    <w:rsid w:val="004C23AA"/>
    <w:rsid w:val="004C2995"/>
    <w:rsid w:val="004D010D"/>
    <w:rsid w:val="004D0AE9"/>
    <w:rsid w:val="004D3AFF"/>
    <w:rsid w:val="004E1F70"/>
    <w:rsid w:val="004E3627"/>
    <w:rsid w:val="004E3947"/>
    <w:rsid w:val="004E7A17"/>
    <w:rsid w:val="004E7EC8"/>
    <w:rsid w:val="0050498B"/>
    <w:rsid w:val="005076DD"/>
    <w:rsid w:val="005108C4"/>
    <w:rsid w:val="00512F8F"/>
    <w:rsid w:val="00526F44"/>
    <w:rsid w:val="0053659A"/>
    <w:rsid w:val="0057029C"/>
    <w:rsid w:val="00570AC8"/>
    <w:rsid w:val="00575396"/>
    <w:rsid w:val="00580F90"/>
    <w:rsid w:val="005A021A"/>
    <w:rsid w:val="005A0CA3"/>
    <w:rsid w:val="005B1619"/>
    <w:rsid w:val="005D02C1"/>
    <w:rsid w:val="005D39C5"/>
    <w:rsid w:val="005D409C"/>
    <w:rsid w:val="005E0EFC"/>
    <w:rsid w:val="005F5586"/>
    <w:rsid w:val="005F60DC"/>
    <w:rsid w:val="006054E2"/>
    <w:rsid w:val="006279E2"/>
    <w:rsid w:val="0064787B"/>
    <w:rsid w:val="00654D0D"/>
    <w:rsid w:val="006606F7"/>
    <w:rsid w:val="00660B88"/>
    <w:rsid w:val="0066108A"/>
    <w:rsid w:val="0066232F"/>
    <w:rsid w:val="00663247"/>
    <w:rsid w:val="006A17A3"/>
    <w:rsid w:val="006A7717"/>
    <w:rsid w:val="006C6355"/>
    <w:rsid w:val="006D1C6F"/>
    <w:rsid w:val="006D43BE"/>
    <w:rsid w:val="007100DB"/>
    <w:rsid w:val="00772247"/>
    <w:rsid w:val="00787EEB"/>
    <w:rsid w:val="00792504"/>
    <w:rsid w:val="00795535"/>
    <w:rsid w:val="00795FD3"/>
    <w:rsid w:val="00796B04"/>
    <w:rsid w:val="007B6939"/>
    <w:rsid w:val="007C35A5"/>
    <w:rsid w:val="007E34B1"/>
    <w:rsid w:val="007F7C3F"/>
    <w:rsid w:val="008338E9"/>
    <w:rsid w:val="00874911"/>
    <w:rsid w:val="008B49A6"/>
    <w:rsid w:val="008E6C59"/>
    <w:rsid w:val="008E759E"/>
    <w:rsid w:val="009142DE"/>
    <w:rsid w:val="00931351"/>
    <w:rsid w:val="00966B6E"/>
    <w:rsid w:val="009770F2"/>
    <w:rsid w:val="00980C8A"/>
    <w:rsid w:val="009839F9"/>
    <w:rsid w:val="00985F19"/>
    <w:rsid w:val="009949E9"/>
    <w:rsid w:val="0099626C"/>
    <w:rsid w:val="009A66E0"/>
    <w:rsid w:val="009B4801"/>
    <w:rsid w:val="009C2BEE"/>
    <w:rsid w:val="00A17A6F"/>
    <w:rsid w:val="00A26F8D"/>
    <w:rsid w:val="00A43DAA"/>
    <w:rsid w:val="00A46987"/>
    <w:rsid w:val="00A6392B"/>
    <w:rsid w:val="00A65787"/>
    <w:rsid w:val="00A97299"/>
    <w:rsid w:val="00AB1C8D"/>
    <w:rsid w:val="00AB221E"/>
    <w:rsid w:val="00AC7041"/>
    <w:rsid w:val="00B06F28"/>
    <w:rsid w:val="00B10D60"/>
    <w:rsid w:val="00B1757A"/>
    <w:rsid w:val="00B279A0"/>
    <w:rsid w:val="00B325BE"/>
    <w:rsid w:val="00B5510F"/>
    <w:rsid w:val="00B9323A"/>
    <w:rsid w:val="00BA07A2"/>
    <w:rsid w:val="00BB074A"/>
    <w:rsid w:val="00BD7EB5"/>
    <w:rsid w:val="00BF56DD"/>
    <w:rsid w:val="00C077CD"/>
    <w:rsid w:val="00C12DAE"/>
    <w:rsid w:val="00C93CD5"/>
    <w:rsid w:val="00C975A8"/>
    <w:rsid w:val="00CA5B00"/>
    <w:rsid w:val="00CE3DB4"/>
    <w:rsid w:val="00CF72D5"/>
    <w:rsid w:val="00D016E3"/>
    <w:rsid w:val="00D459F0"/>
    <w:rsid w:val="00DC3BA0"/>
    <w:rsid w:val="00DE10CC"/>
    <w:rsid w:val="00E02399"/>
    <w:rsid w:val="00E30169"/>
    <w:rsid w:val="00E32864"/>
    <w:rsid w:val="00E35AFC"/>
    <w:rsid w:val="00E507D3"/>
    <w:rsid w:val="00EB2575"/>
    <w:rsid w:val="00EB3EE4"/>
    <w:rsid w:val="00ED114E"/>
    <w:rsid w:val="00EE6475"/>
    <w:rsid w:val="00F027E5"/>
    <w:rsid w:val="00F03128"/>
    <w:rsid w:val="00F17B16"/>
    <w:rsid w:val="00F23480"/>
    <w:rsid w:val="00F37C0B"/>
    <w:rsid w:val="00F409AA"/>
    <w:rsid w:val="00F90AE8"/>
    <w:rsid w:val="00F912CD"/>
    <w:rsid w:val="00FB138C"/>
    <w:rsid w:val="00FE2626"/>
    <w:rsid w:val="00FF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7A29"/>
  <w15:chartTrackingRefBased/>
  <w15:docId w15:val="{3629B689-FDA3-4423-AC1A-CD016436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79A0"/>
    <w:pPr>
      <w:spacing w:after="0" w:line="240" w:lineRule="auto"/>
    </w:pPr>
  </w:style>
  <w:style w:type="paragraph" w:styleId="Header">
    <w:name w:val="header"/>
    <w:basedOn w:val="Normal"/>
    <w:link w:val="HeaderChar"/>
    <w:uiPriority w:val="99"/>
    <w:unhideWhenUsed/>
    <w:rsid w:val="00DC3BA0"/>
    <w:pPr>
      <w:tabs>
        <w:tab w:val="center" w:pos="4844"/>
        <w:tab w:val="right" w:pos="9689"/>
      </w:tabs>
      <w:spacing w:after="0" w:line="240" w:lineRule="auto"/>
    </w:pPr>
  </w:style>
  <w:style w:type="character" w:customStyle="1" w:styleId="HeaderChar">
    <w:name w:val="Header Char"/>
    <w:basedOn w:val="DefaultParagraphFont"/>
    <w:link w:val="Header"/>
    <w:uiPriority w:val="99"/>
    <w:rsid w:val="00DC3BA0"/>
  </w:style>
  <w:style w:type="paragraph" w:styleId="Footer">
    <w:name w:val="footer"/>
    <w:basedOn w:val="Normal"/>
    <w:link w:val="FooterChar"/>
    <w:uiPriority w:val="99"/>
    <w:unhideWhenUsed/>
    <w:rsid w:val="00DC3BA0"/>
    <w:pPr>
      <w:tabs>
        <w:tab w:val="center" w:pos="4844"/>
        <w:tab w:val="right" w:pos="9689"/>
      </w:tabs>
      <w:spacing w:after="0" w:line="240" w:lineRule="auto"/>
    </w:pPr>
  </w:style>
  <w:style w:type="character" w:customStyle="1" w:styleId="FooterChar">
    <w:name w:val="Footer Char"/>
    <w:basedOn w:val="DefaultParagraphFont"/>
    <w:link w:val="Footer"/>
    <w:uiPriority w:val="99"/>
    <w:rsid w:val="00DC3BA0"/>
  </w:style>
  <w:style w:type="paragraph" w:customStyle="1" w:styleId="Default">
    <w:name w:val="Default"/>
    <w:rsid w:val="003701C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575396"/>
    <w:pPr>
      <w:ind w:left="720"/>
      <w:contextualSpacing/>
    </w:pPr>
  </w:style>
  <w:style w:type="paragraph" w:customStyle="1" w:styleId="CM4">
    <w:name w:val="CM4"/>
    <w:basedOn w:val="Normal"/>
    <w:next w:val="Normal"/>
    <w:uiPriority w:val="99"/>
    <w:rsid w:val="006054E2"/>
    <w:pPr>
      <w:autoSpaceDE w:val="0"/>
      <w:autoSpaceDN w:val="0"/>
      <w:adjustRightInd w:val="0"/>
      <w:spacing w:after="0" w:line="240" w:lineRule="auto"/>
    </w:pPr>
    <w:rPr>
      <w:rFonts w:ascii="Times New Roman" w:hAnsi="Times New Roman" w:cs="Times New Roman"/>
      <w:sz w:val="24"/>
      <w:szCs w:val="24"/>
    </w:rPr>
  </w:style>
  <w:style w:type="paragraph" w:styleId="Revision">
    <w:name w:val="Revision"/>
    <w:hidden/>
    <w:uiPriority w:val="99"/>
    <w:semiHidden/>
    <w:rsid w:val="00BB074A"/>
    <w:pPr>
      <w:spacing w:after="0" w:line="240" w:lineRule="auto"/>
    </w:pPr>
  </w:style>
  <w:style w:type="paragraph" w:styleId="BalloonText">
    <w:name w:val="Balloon Text"/>
    <w:basedOn w:val="Normal"/>
    <w:link w:val="BalloonTextChar"/>
    <w:uiPriority w:val="99"/>
    <w:semiHidden/>
    <w:unhideWhenUsed/>
    <w:rsid w:val="004E3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2024-04-30T10:51:00Z</cp:lastPrinted>
  <dcterms:created xsi:type="dcterms:W3CDTF">2024-04-30T10:52:00Z</dcterms:created>
  <dcterms:modified xsi:type="dcterms:W3CDTF">2024-04-30T10:52:00Z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3eac20ee-781e-496c-935a-42dccb006c24</vt:lpwstr>
  </property>
  <property fmtid="{D5CDD505-2E9C-101B-9397-08002B2CF9AE}" pid="3" name="Clasificare">
    <vt:lpwstr>NONE</vt:lpwstr>
  </property>
</Properties>
</file>